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19FD" w14:textId="13C91873" w:rsidR="004B1CF4" w:rsidRPr="00822DA0" w:rsidRDefault="004B1CF4" w:rsidP="004B1CF4">
      <w:pPr>
        <w:jc w:val="both"/>
        <w:rPr>
          <w:rFonts w:ascii="Open Sans" w:hAnsi="Open Sans" w:cs="Open Sans"/>
          <w:b/>
          <w:bCs/>
          <w:sz w:val="22"/>
          <w:szCs w:val="22"/>
        </w:rPr>
      </w:pPr>
      <w:r w:rsidRPr="004B1CF4">
        <w:rPr>
          <w:rFonts w:ascii="Open Sans" w:hAnsi="Open Sans" w:cs="Open Sans"/>
          <w:b/>
          <w:bCs/>
          <w:sz w:val="22"/>
          <w:szCs w:val="22"/>
        </w:rPr>
        <w:t>1. ¿Considera que en España hay un problema de exclusión financiera? ¿Cómo podría mejorarse el acceso al efectivo y a los servicios bancarios básicos?</w:t>
      </w:r>
    </w:p>
    <w:p w14:paraId="2D54D348" w14:textId="77777777" w:rsidR="004B1CF4" w:rsidRPr="004B1CF4" w:rsidRDefault="004B1CF4" w:rsidP="004B1CF4">
      <w:pPr>
        <w:jc w:val="both"/>
        <w:rPr>
          <w:rFonts w:ascii="Open Sans" w:hAnsi="Open Sans" w:cs="Open Sans"/>
          <w:sz w:val="22"/>
          <w:szCs w:val="22"/>
        </w:rPr>
      </w:pPr>
      <w:r w:rsidRPr="004B1CF4">
        <w:rPr>
          <w:rFonts w:ascii="Open Sans" w:hAnsi="Open Sans" w:cs="Open Sans"/>
          <w:sz w:val="22"/>
          <w:szCs w:val="22"/>
        </w:rPr>
        <w:t xml:space="preserve">Sí, sin duda. En la medida en que las entidades financieras no han acometido sus procesos de digitalización a dos velocidades, nos encontramos con colectivos que se han visto desamparados a la hora de realizar la operativa bancaria a la que acostumbraban. Su transición al mundo digital no está siendo fácil en absoluto y por esa razón se ha apelado a las entidades financieras: sabemos que es camino irreversible pero dicho tránsito no podemos dejar a nadie atrás. </w:t>
      </w:r>
    </w:p>
    <w:p w14:paraId="2A3A38DD" w14:textId="60C04E1D" w:rsidR="004B1CF4" w:rsidRPr="004B1CF4" w:rsidRDefault="004B1CF4" w:rsidP="004B1CF4">
      <w:pPr>
        <w:jc w:val="both"/>
        <w:rPr>
          <w:rFonts w:ascii="Open Sans" w:hAnsi="Open Sans" w:cs="Open Sans"/>
          <w:sz w:val="22"/>
          <w:szCs w:val="22"/>
        </w:rPr>
      </w:pPr>
      <w:r w:rsidRPr="004B1CF4">
        <w:rPr>
          <w:rFonts w:ascii="Open Sans" w:hAnsi="Open Sans" w:cs="Open Sans"/>
          <w:sz w:val="22"/>
          <w:szCs w:val="22"/>
        </w:rPr>
        <w:t>Desde ASUFIN venimos insistiendo en que se pueden acometer medidas de mejora como que las entidades desarrollen aplicaciones básicas y de manejo más sencillo e intuitivo para determinados colectivos, como mayores o discapacitados y que faciliten un trato personal, con posibilidad de establecer cita previa, y ampliar las franjas horarias de atención al público para estos colectivos. Muchas de las medidas propuestas por ASUFIN están recogidas en el protocolo firmado por las patronales bancarias</w:t>
      </w:r>
      <w:r w:rsidR="005E1200">
        <w:rPr>
          <w:rFonts w:ascii="Open Sans" w:hAnsi="Open Sans" w:cs="Open Sans"/>
          <w:sz w:val="22"/>
          <w:szCs w:val="22"/>
        </w:rPr>
        <w:t xml:space="preserve"> y conocemos iniciativas digitales (como el cash back) que permiten el acceso al efectivo de manera sencilla y alternativa a las oficinas bancarias o cajeros automáticos.</w:t>
      </w:r>
    </w:p>
    <w:p w14:paraId="16A4499C" w14:textId="77777777" w:rsidR="004B1CF4" w:rsidRPr="004B1CF4" w:rsidRDefault="004B1CF4" w:rsidP="004B1CF4">
      <w:pPr>
        <w:jc w:val="both"/>
        <w:rPr>
          <w:rFonts w:ascii="Open Sans" w:hAnsi="Open Sans" w:cs="Open Sans"/>
          <w:sz w:val="22"/>
          <w:szCs w:val="22"/>
        </w:rPr>
      </w:pPr>
    </w:p>
    <w:p w14:paraId="37A8988D" w14:textId="77777777" w:rsidR="004B1CF4" w:rsidRPr="004B1CF4" w:rsidRDefault="004B1CF4" w:rsidP="004B1CF4">
      <w:pPr>
        <w:jc w:val="both"/>
        <w:rPr>
          <w:rFonts w:ascii="Open Sans" w:hAnsi="Open Sans" w:cs="Open Sans"/>
          <w:b/>
          <w:bCs/>
          <w:sz w:val="22"/>
          <w:szCs w:val="22"/>
        </w:rPr>
      </w:pPr>
      <w:r w:rsidRPr="004B1CF4">
        <w:rPr>
          <w:rFonts w:ascii="Open Sans" w:hAnsi="Open Sans" w:cs="Open Sans"/>
          <w:b/>
          <w:bCs/>
          <w:sz w:val="22"/>
          <w:szCs w:val="22"/>
        </w:rPr>
        <w:t>2. ¿Considera suficientes las medidas del Plan de Inclusión Financiera previsto en la Ley 4/2022?</w:t>
      </w:r>
    </w:p>
    <w:p w14:paraId="6A3263DB" w14:textId="53F18CC8" w:rsidR="002945E0" w:rsidRPr="004B1CF4" w:rsidRDefault="007A0891" w:rsidP="004B1CF4">
      <w:pPr>
        <w:jc w:val="both"/>
        <w:rPr>
          <w:rFonts w:ascii="Open Sans" w:hAnsi="Open Sans" w:cs="Open Sans"/>
          <w:sz w:val="22"/>
          <w:szCs w:val="22"/>
        </w:rPr>
      </w:pPr>
      <w:r>
        <w:rPr>
          <w:rFonts w:ascii="Open Sans" w:hAnsi="Open Sans" w:cs="Open Sans"/>
          <w:sz w:val="22"/>
          <w:szCs w:val="22"/>
        </w:rPr>
        <w:t xml:space="preserve">En sus disposiciones adicionales segunda y tercera prevén el desarrollo de </w:t>
      </w:r>
      <w:r w:rsidR="003F160E">
        <w:rPr>
          <w:rFonts w:ascii="Open Sans" w:hAnsi="Open Sans" w:cs="Open Sans"/>
          <w:sz w:val="22"/>
          <w:szCs w:val="22"/>
        </w:rPr>
        <w:t xml:space="preserve">un plan de medidas para favorecer la inclusión financiera. Son buenos </w:t>
      </w:r>
      <w:r w:rsidR="00177CCC">
        <w:rPr>
          <w:rFonts w:ascii="Open Sans" w:hAnsi="Open Sans" w:cs="Open Sans"/>
          <w:sz w:val="22"/>
          <w:szCs w:val="22"/>
        </w:rPr>
        <w:t>propósitos,</w:t>
      </w:r>
      <w:r w:rsidR="003F160E">
        <w:rPr>
          <w:rFonts w:ascii="Open Sans" w:hAnsi="Open Sans" w:cs="Open Sans"/>
          <w:sz w:val="22"/>
          <w:szCs w:val="22"/>
        </w:rPr>
        <w:t xml:space="preserve"> pero habremos de estar al desarrollo definitivo de los dos planes y</w:t>
      </w:r>
      <w:r w:rsidR="00A56F61">
        <w:rPr>
          <w:rFonts w:ascii="Open Sans" w:hAnsi="Open Sans" w:cs="Open Sans"/>
          <w:sz w:val="22"/>
          <w:szCs w:val="22"/>
        </w:rPr>
        <w:t>, sobre todo, a</w:t>
      </w:r>
      <w:r w:rsidR="00177CCC">
        <w:rPr>
          <w:rFonts w:ascii="Open Sans" w:hAnsi="Open Sans" w:cs="Open Sans"/>
          <w:sz w:val="22"/>
          <w:szCs w:val="22"/>
        </w:rPr>
        <w:t xml:space="preserve"> si las medidas que se establecen son obligatorias o voluntarias.</w:t>
      </w:r>
    </w:p>
    <w:p w14:paraId="0C0D67B9" w14:textId="77777777" w:rsidR="004B1CF4" w:rsidRPr="004B1CF4" w:rsidRDefault="004B1CF4" w:rsidP="004B1CF4">
      <w:pPr>
        <w:jc w:val="both"/>
        <w:rPr>
          <w:rFonts w:ascii="Open Sans" w:hAnsi="Open Sans" w:cs="Open Sans"/>
          <w:sz w:val="22"/>
          <w:szCs w:val="22"/>
        </w:rPr>
      </w:pPr>
    </w:p>
    <w:p w14:paraId="2F8B8DEF" w14:textId="19E57102" w:rsidR="004B1CF4" w:rsidRPr="00822DA0" w:rsidRDefault="004B1CF4" w:rsidP="004B1CF4">
      <w:pPr>
        <w:jc w:val="both"/>
        <w:rPr>
          <w:rFonts w:ascii="Open Sans" w:hAnsi="Open Sans" w:cs="Open Sans"/>
          <w:b/>
          <w:bCs/>
          <w:sz w:val="22"/>
          <w:szCs w:val="22"/>
        </w:rPr>
      </w:pPr>
      <w:r w:rsidRPr="004B1CF4">
        <w:rPr>
          <w:rFonts w:ascii="Open Sans" w:hAnsi="Open Sans" w:cs="Open Sans"/>
          <w:b/>
          <w:bCs/>
          <w:sz w:val="22"/>
          <w:szCs w:val="22"/>
        </w:rPr>
        <w:t>3. ¿Debería completarse el Plan de Inclusión Financiera previsto en la Ley 4/2022 con medidas legales adicionales que impongan a la banca la obligación de garantizar el acceso al efectivo y a los servicios bancarios básicos?</w:t>
      </w:r>
    </w:p>
    <w:p w14:paraId="17D0DBE0" w14:textId="2CEB777E" w:rsidR="004B1CF4" w:rsidRPr="004B1CF4" w:rsidRDefault="00177CCC" w:rsidP="004B1CF4">
      <w:pPr>
        <w:jc w:val="both"/>
        <w:rPr>
          <w:rFonts w:ascii="Open Sans" w:hAnsi="Open Sans" w:cs="Open Sans"/>
          <w:sz w:val="22"/>
          <w:szCs w:val="22"/>
        </w:rPr>
      </w:pPr>
      <w:r>
        <w:rPr>
          <w:rFonts w:ascii="Open Sans" w:hAnsi="Open Sans" w:cs="Open Sans"/>
          <w:sz w:val="22"/>
          <w:szCs w:val="22"/>
        </w:rPr>
        <w:t>Precisamente, muchas veces nos hemos encontrado con protocolos o recomendaciones que no son efectivas. En nuestra opinión, el acceso al efectivo debe garantizarse mediante previsiones legales</w:t>
      </w:r>
      <w:r w:rsidR="005A243A">
        <w:rPr>
          <w:rFonts w:ascii="Open Sans" w:hAnsi="Open Sans" w:cs="Open Sans"/>
          <w:sz w:val="22"/>
          <w:szCs w:val="22"/>
        </w:rPr>
        <w:t>, no mediante protocolos voluntarios.</w:t>
      </w:r>
    </w:p>
    <w:p w14:paraId="428FCFE1" w14:textId="77777777" w:rsidR="004B1CF4" w:rsidRPr="004B1CF4" w:rsidRDefault="004B1CF4" w:rsidP="004B1CF4">
      <w:pPr>
        <w:jc w:val="both"/>
        <w:rPr>
          <w:rFonts w:ascii="Open Sans" w:hAnsi="Open Sans" w:cs="Open Sans"/>
          <w:sz w:val="22"/>
          <w:szCs w:val="22"/>
        </w:rPr>
      </w:pPr>
    </w:p>
    <w:p w14:paraId="453BE8D5" w14:textId="6D501662" w:rsidR="004B1CF4" w:rsidRPr="00822DA0" w:rsidRDefault="004B1CF4" w:rsidP="004B1CF4">
      <w:pPr>
        <w:jc w:val="both"/>
        <w:rPr>
          <w:rFonts w:ascii="Open Sans" w:hAnsi="Open Sans" w:cs="Open Sans"/>
          <w:b/>
          <w:bCs/>
          <w:sz w:val="22"/>
          <w:szCs w:val="22"/>
        </w:rPr>
      </w:pPr>
      <w:r w:rsidRPr="004B1CF4">
        <w:rPr>
          <w:rFonts w:ascii="Open Sans" w:hAnsi="Open Sans" w:cs="Open Sans"/>
          <w:b/>
          <w:bCs/>
          <w:sz w:val="22"/>
          <w:szCs w:val="22"/>
        </w:rPr>
        <w:t>4. En particular, ¿deberían establecerse medidas legales para garantizar geográficamente el acceso al efectivo? ¿A qué distancia mínima del usuario deberían estar disponibles los cajeros automáticos (ATM) o puntos alternativos de acceso o depósito de efectivo?</w:t>
      </w:r>
    </w:p>
    <w:p w14:paraId="4EF0631E" w14:textId="5D3A69F2" w:rsidR="004B1CF4" w:rsidRDefault="004B1CF4" w:rsidP="004B1CF4">
      <w:pPr>
        <w:jc w:val="both"/>
        <w:rPr>
          <w:rFonts w:ascii="Open Sans" w:hAnsi="Open Sans" w:cs="Open Sans"/>
          <w:sz w:val="22"/>
          <w:szCs w:val="22"/>
        </w:rPr>
      </w:pPr>
      <w:r w:rsidRPr="004B1CF4">
        <w:rPr>
          <w:rFonts w:ascii="Open Sans" w:hAnsi="Open Sans" w:cs="Open Sans"/>
          <w:sz w:val="22"/>
          <w:szCs w:val="22"/>
        </w:rPr>
        <w:t xml:space="preserve">Esa reserva de medidas adicionales que prevé la citada ley también hace referencia al ámbito rural, en el que se hace más complicado el acceso al efectivo. Con todo, desde ASUFIN siempre hemos defendido que no sólo hay dificultades en ese ámbito, también en las grandes ciudades encontramos barrios y zonas que han sufrido una gran desbancarización. Hemos pedido que se aborde un estudio en profundidad que “mapee” el territorio en busca de núcleos poblacionales y zonas sensibles en las que haya que abordar medidas específicas. </w:t>
      </w:r>
      <w:r w:rsidR="00727514">
        <w:rPr>
          <w:rFonts w:ascii="Open Sans" w:hAnsi="Open Sans" w:cs="Open Sans"/>
          <w:sz w:val="22"/>
          <w:szCs w:val="22"/>
        </w:rPr>
        <w:t xml:space="preserve">Además, las entidades no solo tienen que poner a disposición una red de cajeros, también se puede hacer uso de la tecnología para abordar nuevas formas de </w:t>
      </w:r>
      <w:r w:rsidR="00C06E19">
        <w:rPr>
          <w:rFonts w:ascii="Open Sans" w:hAnsi="Open Sans" w:cs="Open Sans"/>
          <w:sz w:val="22"/>
          <w:szCs w:val="22"/>
        </w:rPr>
        <w:t xml:space="preserve">acceso a los servicios financieros, como el </w:t>
      </w:r>
      <w:proofErr w:type="spellStart"/>
      <w:r w:rsidR="00C06E19">
        <w:rPr>
          <w:rFonts w:ascii="Open Sans" w:hAnsi="Open Sans" w:cs="Open Sans"/>
          <w:sz w:val="22"/>
          <w:szCs w:val="22"/>
        </w:rPr>
        <w:t>cashback</w:t>
      </w:r>
      <w:proofErr w:type="spellEnd"/>
      <w:r w:rsidR="00187B89">
        <w:rPr>
          <w:rFonts w:ascii="Open Sans" w:hAnsi="Open Sans" w:cs="Open Sans"/>
          <w:sz w:val="22"/>
          <w:szCs w:val="22"/>
        </w:rPr>
        <w:t xml:space="preserve">. </w:t>
      </w:r>
    </w:p>
    <w:p w14:paraId="732904D5" w14:textId="77777777" w:rsidR="00187B89" w:rsidRPr="004B1CF4" w:rsidRDefault="00187B89" w:rsidP="004B1CF4">
      <w:pPr>
        <w:jc w:val="both"/>
        <w:rPr>
          <w:rFonts w:ascii="Open Sans" w:hAnsi="Open Sans" w:cs="Open Sans"/>
          <w:sz w:val="22"/>
          <w:szCs w:val="22"/>
        </w:rPr>
      </w:pPr>
    </w:p>
    <w:p w14:paraId="54F61059" w14:textId="222BEE20" w:rsidR="004B1CF4" w:rsidRPr="00822DA0" w:rsidRDefault="004B1CF4" w:rsidP="004B1CF4">
      <w:pPr>
        <w:jc w:val="both"/>
        <w:rPr>
          <w:rFonts w:ascii="Open Sans" w:hAnsi="Open Sans" w:cs="Open Sans"/>
          <w:b/>
          <w:bCs/>
          <w:sz w:val="22"/>
          <w:szCs w:val="22"/>
        </w:rPr>
      </w:pPr>
      <w:r w:rsidRPr="004B1CF4">
        <w:rPr>
          <w:rFonts w:ascii="Open Sans" w:hAnsi="Open Sans" w:cs="Open Sans"/>
          <w:b/>
          <w:bCs/>
          <w:sz w:val="22"/>
          <w:szCs w:val="22"/>
        </w:rPr>
        <w:t>5. ¿Deberían crearse centros de prestación compartida de servicios financieros (</w:t>
      </w:r>
      <w:proofErr w:type="spellStart"/>
      <w:r w:rsidRPr="004B1CF4">
        <w:rPr>
          <w:rFonts w:ascii="Open Sans" w:hAnsi="Open Sans" w:cs="Open Sans"/>
          <w:b/>
          <w:bCs/>
          <w:sz w:val="22"/>
          <w:szCs w:val="22"/>
        </w:rPr>
        <w:t>Shared</w:t>
      </w:r>
      <w:proofErr w:type="spellEnd"/>
      <w:r w:rsidRPr="004B1CF4">
        <w:rPr>
          <w:rFonts w:ascii="Open Sans" w:hAnsi="Open Sans" w:cs="Open Sans"/>
          <w:b/>
          <w:bCs/>
          <w:sz w:val="22"/>
          <w:szCs w:val="22"/>
        </w:rPr>
        <w:t xml:space="preserve"> </w:t>
      </w:r>
      <w:proofErr w:type="spellStart"/>
      <w:r w:rsidRPr="004B1CF4">
        <w:rPr>
          <w:rFonts w:ascii="Open Sans" w:hAnsi="Open Sans" w:cs="Open Sans"/>
          <w:b/>
          <w:bCs/>
          <w:sz w:val="22"/>
          <w:szCs w:val="22"/>
        </w:rPr>
        <w:t>Banking</w:t>
      </w:r>
      <w:proofErr w:type="spellEnd"/>
      <w:r w:rsidRPr="004B1CF4">
        <w:rPr>
          <w:rFonts w:ascii="Open Sans" w:hAnsi="Open Sans" w:cs="Open Sans"/>
          <w:b/>
          <w:bCs/>
          <w:sz w:val="22"/>
          <w:szCs w:val="22"/>
        </w:rPr>
        <w:t xml:space="preserve"> </w:t>
      </w:r>
      <w:proofErr w:type="spellStart"/>
      <w:r w:rsidRPr="004B1CF4">
        <w:rPr>
          <w:rFonts w:ascii="Open Sans" w:hAnsi="Open Sans" w:cs="Open Sans"/>
          <w:b/>
          <w:bCs/>
          <w:sz w:val="22"/>
          <w:szCs w:val="22"/>
        </w:rPr>
        <w:t>Hubs</w:t>
      </w:r>
      <w:proofErr w:type="spellEnd"/>
      <w:r w:rsidRPr="004B1CF4">
        <w:rPr>
          <w:rFonts w:ascii="Open Sans" w:hAnsi="Open Sans" w:cs="Open Sans"/>
          <w:b/>
          <w:bCs/>
          <w:sz w:val="22"/>
          <w:szCs w:val="22"/>
        </w:rPr>
        <w:t>) para garantizar el acceso al efectivo y a los servicios bancarios básicos? ¿Debería obligarse a la banca a compartir cajeros automáticos (ATM) para garantizar el acceso al efectivo?</w:t>
      </w:r>
    </w:p>
    <w:p w14:paraId="7EDE075C" w14:textId="28CFD1C9" w:rsidR="004B1CF4" w:rsidRPr="004B1CF4" w:rsidRDefault="00A031D6" w:rsidP="004B1CF4">
      <w:pPr>
        <w:jc w:val="both"/>
        <w:rPr>
          <w:rFonts w:ascii="Open Sans" w:hAnsi="Open Sans" w:cs="Open Sans"/>
          <w:sz w:val="22"/>
          <w:szCs w:val="22"/>
        </w:rPr>
      </w:pPr>
      <w:r>
        <w:rPr>
          <w:rFonts w:ascii="Open Sans" w:hAnsi="Open Sans" w:cs="Open Sans"/>
          <w:sz w:val="22"/>
          <w:szCs w:val="22"/>
        </w:rPr>
        <w:t>Sin ninguna duda, uno de los mayores problemas que observamos es la falta de competencia, en especial en zonas rurales. En muchos pueblo</w:t>
      </w:r>
      <w:r w:rsidR="003B6480">
        <w:rPr>
          <w:rFonts w:ascii="Open Sans" w:hAnsi="Open Sans" w:cs="Open Sans"/>
          <w:sz w:val="22"/>
          <w:szCs w:val="22"/>
        </w:rPr>
        <w:t>s</w:t>
      </w:r>
      <w:r>
        <w:rPr>
          <w:rFonts w:ascii="Open Sans" w:hAnsi="Open Sans" w:cs="Open Sans"/>
          <w:sz w:val="22"/>
          <w:szCs w:val="22"/>
        </w:rPr>
        <w:t xml:space="preserve"> solo queda una oficina </w:t>
      </w:r>
      <w:r w:rsidR="00C706D5">
        <w:rPr>
          <w:rFonts w:ascii="Open Sans" w:hAnsi="Open Sans" w:cs="Open Sans"/>
          <w:sz w:val="22"/>
          <w:szCs w:val="22"/>
        </w:rPr>
        <w:t xml:space="preserve">y, por tanto, solo una entidad lo que supone un detrimento para el consumidor </w:t>
      </w:r>
      <w:r w:rsidR="003B6480">
        <w:rPr>
          <w:rFonts w:ascii="Open Sans" w:hAnsi="Open Sans" w:cs="Open Sans"/>
          <w:sz w:val="22"/>
          <w:szCs w:val="22"/>
        </w:rPr>
        <w:t>al verse disminuida la competencia.</w:t>
      </w:r>
    </w:p>
    <w:p w14:paraId="26CD5D3E" w14:textId="77777777" w:rsidR="004B1CF4" w:rsidRPr="004B1CF4" w:rsidRDefault="004B1CF4" w:rsidP="004B1CF4">
      <w:pPr>
        <w:jc w:val="both"/>
        <w:rPr>
          <w:rFonts w:ascii="Open Sans" w:hAnsi="Open Sans" w:cs="Open Sans"/>
          <w:sz w:val="22"/>
          <w:szCs w:val="22"/>
        </w:rPr>
      </w:pPr>
    </w:p>
    <w:p w14:paraId="318D6FAB" w14:textId="46E9F85D" w:rsidR="004B1CF4" w:rsidRPr="00822DA0" w:rsidRDefault="004B1CF4" w:rsidP="004B1CF4">
      <w:pPr>
        <w:jc w:val="both"/>
        <w:rPr>
          <w:rFonts w:ascii="Open Sans" w:hAnsi="Open Sans" w:cs="Open Sans"/>
          <w:b/>
          <w:bCs/>
          <w:sz w:val="22"/>
          <w:szCs w:val="22"/>
        </w:rPr>
      </w:pPr>
      <w:r w:rsidRPr="004B1CF4">
        <w:rPr>
          <w:rFonts w:ascii="Open Sans" w:hAnsi="Open Sans" w:cs="Open Sans"/>
          <w:b/>
          <w:bCs/>
          <w:sz w:val="22"/>
          <w:szCs w:val="22"/>
        </w:rPr>
        <w:t>6. ¿Está de acuerdo en que el Banco de España sea la autoridad supervisora de la inclusión financiera? ¿Qué papel debería asumir la Sociedad Española de Sistemas de Pago, S. A. (</w:t>
      </w:r>
      <w:proofErr w:type="spellStart"/>
      <w:r w:rsidRPr="004B1CF4">
        <w:rPr>
          <w:rFonts w:ascii="Open Sans" w:hAnsi="Open Sans" w:cs="Open Sans"/>
          <w:b/>
          <w:bCs/>
          <w:sz w:val="22"/>
          <w:szCs w:val="22"/>
        </w:rPr>
        <w:t>Iberpay</w:t>
      </w:r>
      <w:proofErr w:type="spellEnd"/>
      <w:r w:rsidRPr="004B1CF4">
        <w:rPr>
          <w:rFonts w:ascii="Open Sans" w:hAnsi="Open Sans" w:cs="Open Sans"/>
          <w:b/>
          <w:bCs/>
          <w:sz w:val="22"/>
          <w:szCs w:val="22"/>
        </w:rPr>
        <w:t>) para garantizar el acceso al efectivo y a los servicios de pago básicos?</w:t>
      </w:r>
    </w:p>
    <w:p w14:paraId="39AC57CF" w14:textId="05E046C2" w:rsidR="003B6480" w:rsidRPr="004B1CF4" w:rsidRDefault="008B6402" w:rsidP="00822DA0">
      <w:pPr>
        <w:rPr>
          <w:rFonts w:ascii="Open Sans" w:hAnsi="Open Sans" w:cs="Open Sans"/>
          <w:sz w:val="22"/>
          <w:szCs w:val="22"/>
        </w:rPr>
      </w:pPr>
      <w:r>
        <w:rPr>
          <w:rFonts w:ascii="Open Sans" w:hAnsi="Open Sans" w:cs="Open Sans"/>
          <w:sz w:val="22"/>
          <w:szCs w:val="22"/>
        </w:rPr>
        <w:t xml:space="preserve">El </w:t>
      </w:r>
      <w:r w:rsidR="003B6480">
        <w:rPr>
          <w:rFonts w:ascii="Open Sans" w:hAnsi="Open Sans" w:cs="Open Sans"/>
          <w:sz w:val="22"/>
          <w:szCs w:val="22"/>
        </w:rPr>
        <w:t xml:space="preserve">Banco de España es la autoridad </w:t>
      </w:r>
      <w:r w:rsidR="00C955BC">
        <w:rPr>
          <w:rFonts w:ascii="Open Sans" w:hAnsi="Open Sans" w:cs="Open Sans"/>
          <w:sz w:val="22"/>
          <w:szCs w:val="22"/>
        </w:rPr>
        <w:t xml:space="preserve">adecuada para supervisar la inclusión </w:t>
      </w:r>
      <w:proofErr w:type="gramStart"/>
      <w:r w:rsidR="00C955BC">
        <w:rPr>
          <w:rFonts w:ascii="Open Sans" w:hAnsi="Open Sans" w:cs="Open Sans"/>
          <w:sz w:val="22"/>
          <w:szCs w:val="22"/>
        </w:rPr>
        <w:t>financiera</w:t>
      </w:r>
      <w:proofErr w:type="gramEnd"/>
      <w:r w:rsidR="00C955BC">
        <w:rPr>
          <w:rFonts w:ascii="Open Sans" w:hAnsi="Open Sans" w:cs="Open Sans"/>
          <w:sz w:val="22"/>
          <w:szCs w:val="22"/>
        </w:rPr>
        <w:t xml:space="preserve"> </w:t>
      </w:r>
      <w:r>
        <w:rPr>
          <w:rFonts w:ascii="Open Sans" w:hAnsi="Open Sans" w:cs="Open Sans"/>
          <w:sz w:val="22"/>
          <w:szCs w:val="22"/>
        </w:rPr>
        <w:t xml:space="preserve">pero debe contar con la colaboración estrecha de </w:t>
      </w:r>
      <w:proofErr w:type="spellStart"/>
      <w:r>
        <w:rPr>
          <w:rFonts w:ascii="Open Sans" w:hAnsi="Open Sans" w:cs="Open Sans"/>
          <w:sz w:val="22"/>
          <w:szCs w:val="22"/>
        </w:rPr>
        <w:t>Iberpay</w:t>
      </w:r>
      <w:proofErr w:type="spellEnd"/>
      <w:r>
        <w:rPr>
          <w:rFonts w:ascii="Open Sans" w:hAnsi="Open Sans" w:cs="Open Sans"/>
          <w:sz w:val="22"/>
          <w:szCs w:val="22"/>
        </w:rPr>
        <w:t xml:space="preserve"> que es la que, en definitiva, tiene más datos sobre las </w:t>
      </w:r>
      <w:r w:rsidR="00822DA0">
        <w:rPr>
          <w:rFonts w:ascii="Open Sans" w:hAnsi="Open Sans" w:cs="Open Sans"/>
          <w:sz w:val="22"/>
          <w:szCs w:val="22"/>
        </w:rPr>
        <w:t xml:space="preserve">conexiones entre </w:t>
      </w:r>
      <w:r w:rsidR="00822DA0" w:rsidRPr="00822DA0">
        <w:rPr>
          <w:rFonts w:ascii="Open Sans" w:hAnsi="Open Sans" w:cs="Open Sans"/>
          <w:sz w:val="22"/>
          <w:szCs w:val="22"/>
        </w:rPr>
        <w:t xml:space="preserve">bancos, cuentas corrientes, ciudadanos y empresas para procesar </w:t>
      </w:r>
      <w:r w:rsidR="00822DA0">
        <w:rPr>
          <w:rFonts w:ascii="Open Sans" w:hAnsi="Open Sans" w:cs="Open Sans"/>
          <w:sz w:val="22"/>
          <w:szCs w:val="22"/>
        </w:rPr>
        <w:t>los</w:t>
      </w:r>
      <w:r w:rsidR="00822DA0" w:rsidRPr="00822DA0">
        <w:rPr>
          <w:rFonts w:ascii="Open Sans" w:hAnsi="Open Sans" w:cs="Open Sans"/>
          <w:sz w:val="22"/>
          <w:szCs w:val="22"/>
        </w:rPr>
        <w:t xml:space="preserve"> pagos</w:t>
      </w:r>
      <w:r w:rsidR="00822DA0">
        <w:rPr>
          <w:rFonts w:ascii="Open Sans" w:hAnsi="Open Sans" w:cs="Open Sans"/>
          <w:sz w:val="22"/>
          <w:szCs w:val="22"/>
        </w:rPr>
        <w:t>.</w:t>
      </w:r>
    </w:p>
    <w:p w14:paraId="1A01BDD4" w14:textId="77777777" w:rsidR="004B1CF4" w:rsidRPr="004B1CF4" w:rsidRDefault="004B1CF4" w:rsidP="004B1CF4">
      <w:pPr>
        <w:jc w:val="both"/>
        <w:rPr>
          <w:rFonts w:ascii="Open Sans" w:hAnsi="Open Sans" w:cs="Open Sans"/>
          <w:sz w:val="22"/>
          <w:szCs w:val="22"/>
        </w:rPr>
      </w:pPr>
    </w:p>
    <w:p w14:paraId="4B8A8A1C" w14:textId="560CF6BE" w:rsidR="004B1CF4" w:rsidRPr="00822DA0" w:rsidRDefault="004B1CF4" w:rsidP="004B1CF4">
      <w:pPr>
        <w:jc w:val="both"/>
        <w:rPr>
          <w:rFonts w:ascii="Open Sans" w:hAnsi="Open Sans" w:cs="Open Sans"/>
          <w:b/>
          <w:bCs/>
          <w:sz w:val="22"/>
          <w:szCs w:val="22"/>
        </w:rPr>
      </w:pPr>
      <w:r w:rsidRPr="004B1CF4">
        <w:rPr>
          <w:rFonts w:ascii="Open Sans" w:hAnsi="Open Sans" w:cs="Open Sans"/>
          <w:b/>
          <w:bCs/>
          <w:sz w:val="22"/>
          <w:szCs w:val="22"/>
        </w:rPr>
        <w:t>7. ¿Qué papel debería asumir la «Autoridad Administrativa Independiente de Protección del Cliente Financiero» en relación con la inclusión financiera para garantizar el acceso al efectivo y a los servicios bancarios básicos?</w:t>
      </w:r>
    </w:p>
    <w:p w14:paraId="1CE12373" w14:textId="1260F95A" w:rsidR="004B1CF4" w:rsidRPr="004B1CF4" w:rsidRDefault="004B1CF4" w:rsidP="004B1CF4">
      <w:pPr>
        <w:jc w:val="both"/>
        <w:rPr>
          <w:rFonts w:ascii="Open Sans" w:hAnsi="Open Sans" w:cs="Open Sans"/>
          <w:sz w:val="22"/>
          <w:szCs w:val="22"/>
        </w:rPr>
      </w:pPr>
      <w:r w:rsidRPr="004B1CF4">
        <w:rPr>
          <w:rFonts w:ascii="Open Sans" w:hAnsi="Open Sans" w:cs="Open Sans"/>
          <w:sz w:val="22"/>
          <w:szCs w:val="22"/>
        </w:rPr>
        <w:t xml:space="preserve">Consideramos que la Autoridad de protección al cliente que verá la luz una vez concluya su tramitación debería contribuir de manera fundamental a proteger los derechos del consumidor, en términos generales, en su relación con las entidades financieras. </w:t>
      </w:r>
      <w:r w:rsidR="0073253E">
        <w:rPr>
          <w:rFonts w:ascii="Open Sans" w:hAnsi="Open Sans" w:cs="Open Sans"/>
          <w:sz w:val="22"/>
          <w:szCs w:val="22"/>
        </w:rPr>
        <w:t xml:space="preserve">Es importante que no solo </w:t>
      </w:r>
      <w:proofErr w:type="gramStart"/>
      <w:r w:rsidR="0073253E">
        <w:rPr>
          <w:rFonts w:ascii="Open Sans" w:hAnsi="Open Sans" w:cs="Open Sans"/>
          <w:sz w:val="22"/>
          <w:szCs w:val="22"/>
        </w:rPr>
        <w:t>incluye</w:t>
      </w:r>
      <w:proofErr w:type="gramEnd"/>
      <w:r w:rsidR="0073253E">
        <w:rPr>
          <w:rFonts w:ascii="Open Sans" w:hAnsi="Open Sans" w:cs="Open Sans"/>
          <w:sz w:val="22"/>
          <w:szCs w:val="22"/>
        </w:rPr>
        <w:t xml:space="preserve"> a los clientes dentro de su ámbito de actuación, sino a los potenciales, lo que le permitirá conocer quejas de aquellos clientes a los que se les rechazó el acceso al servicio.</w:t>
      </w:r>
    </w:p>
    <w:p w14:paraId="0419AD00" w14:textId="77777777" w:rsidR="004B1CF4" w:rsidRPr="004B1CF4" w:rsidRDefault="004B1CF4" w:rsidP="004B1CF4">
      <w:pPr>
        <w:jc w:val="both"/>
        <w:rPr>
          <w:rFonts w:ascii="Open Sans" w:hAnsi="Open Sans" w:cs="Open Sans"/>
          <w:sz w:val="22"/>
          <w:szCs w:val="22"/>
        </w:rPr>
      </w:pPr>
    </w:p>
    <w:p w14:paraId="11F64D12" w14:textId="4AB3CFBA" w:rsidR="004B1CF4" w:rsidRPr="0073253E" w:rsidRDefault="004B1CF4" w:rsidP="004B1CF4">
      <w:pPr>
        <w:jc w:val="both"/>
        <w:rPr>
          <w:rFonts w:ascii="Open Sans" w:hAnsi="Open Sans" w:cs="Open Sans"/>
          <w:b/>
          <w:bCs/>
          <w:sz w:val="22"/>
          <w:szCs w:val="22"/>
        </w:rPr>
      </w:pPr>
      <w:r w:rsidRPr="004B1CF4">
        <w:rPr>
          <w:rFonts w:ascii="Open Sans" w:hAnsi="Open Sans" w:cs="Open Sans"/>
          <w:b/>
          <w:bCs/>
          <w:sz w:val="22"/>
          <w:szCs w:val="22"/>
        </w:rPr>
        <w:t>8. ¿Qué papel considera que debería asumir la Sociedad Estatal Correos y Telégrafos, S.A., S.M.E. para garantizar el acceso al efectivo y a los servicios bancarios básicos?</w:t>
      </w:r>
    </w:p>
    <w:p w14:paraId="537634C6" w14:textId="462081EB" w:rsidR="00187B89" w:rsidRPr="004B1CF4" w:rsidRDefault="004B1CF4" w:rsidP="00187B89">
      <w:pPr>
        <w:jc w:val="both"/>
        <w:rPr>
          <w:rFonts w:ascii="Open Sans" w:hAnsi="Open Sans" w:cs="Open Sans"/>
          <w:sz w:val="22"/>
          <w:szCs w:val="22"/>
        </w:rPr>
      </w:pPr>
      <w:r w:rsidRPr="004B1CF4">
        <w:rPr>
          <w:rFonts w:ascii="Open Sans" w:hAnsi="Open Sans" w:cs="Open Sans"/>
          <w:sz w:val="22"/>
          <w:szCs w:val="22"/>
        </w:rPr>
        <w:t xml:space="preserve">Como empresa pública estatal su papel puede ser sumamente útil, ahora bien, debemos garantizar que </w:t>
      </w:r>
      <w:r w:rsidR="00B244BE">
        <w:rPr>
          <w:rFonts w:ascii="Open Sans" w:hAnsi="Open Sans" w:cs="Open Sans"/>
          <w:sz w:val="22"/>
          <w:szCs w:val="22"/>
        </w:rPr>
        <w:t>pone a disposición la red de oficinas</w:t>
      </w:r>
      <w:r w:rsidRPr="004B1CF4">
        <w:rPr>
          <w:rFonts w:ascii="Open Sans" w:hAnsi="Open Sans" w:cs="Open Sans"/>
          <w:sz w:val="22"/>
          <w:szCs w:val="22"/>
        </w:rPr>
        <w:t xml:space="preserve"> </w:t>
      </w:r>
      <w:r w:rsidR="00B244BE">
        <w:rPr>
          <w:rFonts w:ascii="Open Sans" w:hAnsi="Open Sans" w:cs="Open Sans"/>
          <w:sz w:val="22"/>
          <w:szCs w:val="22"/>
        </w:rPr>
        <w:t>a todo</w:t>
      </w:r>
      <w:r w:rsidRPr="004B1CF4">
        <w:rPr>
          <w:rFonts w:ascii="Open Sans" w:hAnsi="Open Sans" w:cs="Open Sans"/>
          <w:sz w:val="22"/>
          <w:szCs w:val="22"/>
        </w:rPr>
        <w:t xml:space="preserve"> elenco bancario de que disponemos. No estamos de acuerdo con la firma de convenios que se realizan con una única entidad</w:t>
      </w:r>
      <w:r w:rsidR="002B1A03">
        <w:rPr>
          <w:rFonts w:ascii="Open Sans" w:hAnsi="Open Sans" w:cs="Open Sans"/>
          <w:sz w:val="22"/>
          <w:szCs w:val="22"/>
        </w:rPr>
        <w:t xml:space="preserve">, entendemos que se trata de la concesión por </w:t>
      </w:r>
      <w:r w:rsidR="003C7857">
        <w:rPr>
          <w:rFonts w:ascii="Open Sans" w:hAnsi="Open Sans" w:cs="Open Sans"/>
          <w:sz w:val="22"/>
          <w:szCs w:val="22"/>
        </w:rPr>
        <w:t>concurso,</w:t>
      </w:r>
      <w:r w:rsidR="002B1A03">
        <w:rPr>
          <w:rFonts w:ascii="Open Sans" w:hAnsi="Open Sans" w:cs="Open Sans"/>
          <w:sz w:val="22"/>
          <w:szCs w:val="22"/>
        </w:rPr>
        <w:t xml:space="preserve"> pero nos preguntamos por qué solo a una entidad y no a varias para que los clientes puedan acceder a</w:t>
      </w:r>
      <w:r w:rsidR="003C7857">
        <w:rPr>
          <w:rFonts w:ascii="Open Sans" w:hAnsi="Open Sans" w:cs="Open Sans"/>
          <w:sz w:val="22"/>
          <w:szCs w:val="22"/>
        </w:rPr>
        <w:t xml:space="preserve"> varias entidades y no solo a la que haya ganado el concurso. Creemos además que no favorece la competencia entre las entidades y que correos podría, al igual que otras administraciones, convertirse en un </w:t>
      </w:r>
      <w:proofErr w:type="spellStart"/>
      <w:r w:rsidR="003C7857" w:rsidRPr="003C7857">
        <w:rPr>
          <w:rFonts w:ascii="Open Sans" w:hAnsi="Open Sans" w:cs="Open Sans"/>
          <w:sz w:val="22"/>
          <w:szCs w:val="22"/>
        </w:rPr>
        <w:t>Shared</w:t>
      </w:r>
      <w:proofErr w:type="spellEnd"/>
      <w:r w:rsidR="003C7857" w:rsidRPr="003C7857">
        <w:rPr>
          <w:rFonts w:ascii="Open Sans" w:hAnsi="Open Sans" w:cs="Open Sans"/>
          <w:sz w:val="22"/>
          <w:szCs w:val="22"/>
        </w:rPr>
        <w:t xml:space="preserve"> </w:t>
      </w:r>
      <w:proofErr w:type="spellStart"/>
      <w:r w:rsidR="003C7857" w:rsidRPr="003C7857">
        <w:rPr>
          <w:rFonts w:ascii="Open Sans" w:hAnsi="Open Sans" w:cs="Open Sans"/>
          <w:sz w:val="22"/>
          <w:szCs w:val="22"/>
        </w:rPr>
        <w:t>Banking</w:t>
      </w:r>
      <w:proofErr w:type="spellEnd"/>
      <w:r w:rsidR="003C7857" w:rsidRPr="003C7857">
        <w:rPr>
          <w:rFonts w:ascii="Open Sans" w:hAnsi="Open Sans" w:cs="Open Sans"/>
          <w:sz w:val="22"/>
          <w:szCs w:val="22"/>
        </w:rPr>
        <w:t xml:space="preserve"> Hub.</w:t>
      </w:r>
      <w:r w:rsidR="003C7857">
        <w:rPr>
          <w:rFonts w:ascii="Open Sans" w:hAnsi="Open Sans" w:cs="Open Sans"/>
          <w:sz w:val="22"/>
          <w:szCs w:val="22"/>
        </w:rPr>
        <w:t xml:space="preserve"> En definitiva, </w:t>
      </w:r>
      <w:r w:rsidRPr="004B1CF4">
        <w:rPr>
          <w:rFonts w:ascii="Open Sans" w:hAnsi="Open Sans" w:cs="Open Sans"/>
          <w:sz w:val="22"/>
          <w:szCs w:val="22"/>
        </w:rPr>
        <w:t>Correos como empresa pública debe dar cobertura a todas las entidades garantizando así la competencia.</w:t>
      </w:r>
    </w:p>
    <w:p w14:paraId="2054E7FA" w14:textId="77777777" w:rsidR="004B1CF4" w:rsidRPr="004B1CF4" w:rsidRDefault="004B1CF4" w:rsidP="004B1CF4">
      <w:pPr>
        <w:jc w:val="both"/>
        <w:rPr>
          <w:rFonts w:ascii="Open Sans" w:hAnsi="Open Sans" w:cs="Open Sans"/>
          <w:sz w:val="22"/>
          <w:szCs w:val="22"/>
        </w:rPr>
      </w:pPr>
    </w:p>
    <w:p w14:paraId="745420C2" w14:textId="77777777" w:rsidR="004B1CF4" w:rsidRPr="004B1CF4" w:rsidRDefault="004B1CF4" w:rsidP="004B1CF4">
      <w:pPr>
        <w:jc w:val="both"/>
        <w:rPr>
          <w:rFonts w:ascii="Open Sans" w:hAnsi="Open Sans" w:cs="Open Sans"/>
          <w:b/>
          <w:bCs/>
          <w:sz w:val="22"/>
          <w:szCs w:val="22"/>
        </w:rPr>
      </w:pPr>
      <w:r w:rsidRPr="004B1CF4">
        <w:rPr>
          <w:rFonts w:ascii="Open Sans" w:hAnsi="Open Sans" w:cs="Open Sans"/>
          <w:b/>
          <w:bCs/>
          <w:sz w:val="22"/>
          <w:szCs w:val="22"/>
        </w:rPr>
        <w:t>9. ¿Puede citar alguna medida innovadora de utilidad para favorecer la inclusión financiera? ¿Cómo podría contribuir el «Espacio controlado de pruebas» (</w:t>
      </w:r>
      <w:proofErr w:type="spellStart"/>
      <w:r w:rsidRPr="004B1CF4">
        <w:rPr>
          <w:rFonts w:ascii="Open Sans" w:hAnsi="Open Sans" w:cs="Open Sans"/>
          <w:b/>
          <w:bCs/>
          <w:sz w:val="22"/>
          <w:szCs w:val="22"/>
        </w:rPr>
        <w:t>Regulatory</w:t>
      </w:r>
      <w:proofErr w:type="spellEnd"/>
      <w:r w:rsidRPr="004B1CF4">
        <w:rPr>
          <w:rFonts w:ascii="Open Sans" w:hAnsi="Open Sans" w:cs="Open Sans"/>
          <w:b/>
          <w:bCs/>
          <w:sz w:val="22"/>
          <w:szCs w:val="22"/>
        </w:rPr>
        <w:t xml:space="preserve"> Sandbox) a garantizar el acceso al efectivo y a los servicios bancarios básicos?</w:t>
      </w:r>
    </w:p>
    <w:p w14:paraId="5A79A27E" w14:textId="205E6524" w:rsidR="004B1CF4" w:rsidRPr="004B1CF4" w:rsidRDefault="003C7857" w:rsidP="004B1CF4">
      <w:pPr>
        <w:jc w:val="both"/>
        <w:rPr>
          <w:rFonts w:ascii="Open Sans" w:hAnsi="Open Sans" w:cs="Open Sans"/>
          <w:sz w:val="22"/>
          <w:szCs w:val="22"/>
        </w:rPr>
      </w:pPr>
      <w:r>
        <w:rPr>
          <w:rFonts w:ascii="Open Sans" w:hAnsi="Open Sans" w:cs="Open Sans"/>
          <w:sz w:val="22"/>
          <w:szCs w:val="22"/>
        </w:rPr>
        <w:t xml:space="preserve">Recientemente hemos conocido la </w:t>
      </w:r>
      <w:r w:rsidR="00DB789D">
        <w:rPr>
          <w:rFonts w:ascii="Open Sans" w:hAnsi="Open Sans" w:cs="Open Sans"/>
          <w:sz w:val="22"/>
          <w:szCs w:val="22"/>
        </w:rPr>
        <w:t xml:space="preserve">nueva </w:t>
      </w:r>
      <w:r>
        <w:rPr>
          <w:rFonts w:ascii="Open Sans" w:hAnsi="Open Sans" w:cs="Open Sans"/>
          <w:sz w:val="22"/>
          <w:szCs w:val="22"/>
        </w:rPr>
        <w:t xml:space="preserve">propuesta de </w:t>
      </w:r>
      <w:r w:rsidR="00DB789D" w:rsidRPr="00DB789D">
        <w:rPr>
          <w:rFonts w:ascii="Open Sans" w:hAnsi="Open Sans" w:cs="Open Sans"/>
          <w:b/>
          <w:bCs/>
          <w:sz w:val="22"/>
          <w:szCs w:val="22"/>
        </w:rPr>
        <w:t>cash back</w:t>
      </w:r>
      <w:r>
        <w:rPr>
          <w:rFonts w:ascii="Open Sans" w:hAnsi="Open Sans" w:cs="Open Sans"/>
          <w:sz w:val="22"/>
          <w:szCs w:val="22"/>
        </w:rPr>
        <w:t xml:space="preserve"> de </w:t>
      </w:r>
      <w:r w:rsidR="00DB789D">
        <w:rPr>
          <w:rFonts w:ascii="Open Sans" w:hAnsi="Open Sans" w:cs="Open Sans"/>
          <w:sz w:val="22"/>
          <w:szCs w:val="22"/>
        </w:rPr>
        <w:t xml:space="preserve">ING. Esta entidad desarrolló una aplicación que se llamaba </w:t>
      </w:r>
      <w:proofErr w:type="spellStart"/>
      <w:r w:rsidR="00DB789D">
        <w:rPr>
          <w:rFonts w:ascii="Open Sans" w:hAnsi="Open Sans" w:cs="Open Sans"/>
          <w:sz w:val="22"/>
          <w:szCs w:val="22"/>
        </w:rPr>
        <w:t>Twyp</w:t>
      </w:r>
      <w:proofErr w:type="spellEnd"/>
      <w:r w:rsidR="00DB789D">
        <w:rPr>
          <w:rFonts w:ascii="Open Sans" w:hAnsi="Open Sans" w:cs="Open Sans"/>
          <w:sz w:val="22"/>
          <w:szCs w:val="22"/>
        </w:rPr>
        <w:t xml:space="preserve"> </w:t>
      </w:r>
      <w:r w:rsidR="00767161">
        <w:rPr>
          <w:rFonts w:ascii="Open Sans" w:hAnsi="Open Sans" w:cs="Open Sans"/>
          <w:sz w:val="22"/>
          <w:szCs w:val="22"/>
        </w:rPr>
        <w:t>(</w:t>
      </w:r>
      <w:hyperlink r:id="rId11" w:history="1">
        <w:r w:rsidR="00587977" w:rsidRPr="00C73E29">
          <w:rPr>
            <w:rStyle w:val="Hipervnculo"/>
            <w:rFonts w:ascii="Open Sans" w:hAnsi="Open Sans" w:cs="Open Sans"/>
            <w:sz w:val="22"/>
            <w:szCs w:val="22"/>
          </w:rPr>
          <w:t>https://finanzas.roams.es/entidades-financieras/ing/cashback</w:t>
        </w:r>
      </w:hyperlink>
      <w:r w:rsidR="00587977">
        <w:rPr>
          <w:rFonts w:ascii="Open Sans" w:hAnsi="Open Sans" w:cs="Open Sans"/>
          <w:sz w:val="22"/>
          <w:szCs w:val="22"/>
        </w:rPr>
        <w:t xml:space="preserve"> </w:t>
      </w:r>
      <w:r w:rsidR="00767161">
        <w:rPr>
          <w:rFonts w:ascii="Open Sans" w:hAnsi="Open Sans" w:cs="Open Sans"/>
          <w:sz w:val="22"/>
          <w:szCs w:val="22"/>
        </w:rPr>
        <w:t xml:space="preserve">) </w:t>
      </w:r>
      <w:r w:rsidR="00DB789D">
        <w:rPr>
          <w:rFonts w:ascii="Open Sans" w:hAnsi="Open Sans" w:cs="Open Sans"/>
          <w:sz w:val="22"/>
          <w:szCs w:val="22"/>
        </w:rPr>
        <w:t xml:space="preserve">y que ahora ha vendido a </w:t>
      </w:r>
      <w:proofErr w:type="spellStart"/>
      <w:r w:rsidR="00767161">
        <w:rPr>
          <w:rFonts w:ascii="Open Sans" w:hAnsi="Open Sans" w:cs="Open Sans"/>
          <w:sz w:val="22"/>
          <w:szCs w:val="22"/>
        </w:rPr>
        <w:t>TOPii</w:t>
      </w:r>
      <w:proofErr w:type="spellEnd"/>
      <w:r w:rsidR="00587977">
        <w:rPr>
          <w:rFonts w:ascii="Open Sans" w:hAnsi="Open Sans" w:cs="Open Sans"/>
          <w:sz w:val="22"/>
          <w:szCs w:val="22"/>
        </w:rPr>
        <w:t xml:space="preserve"> (</w:t>
      </w:r>
      <w:hyperlink r:id="rId12" w:history="1">
        <w:r w:rsidR="00587977" w:rsidRPr="00C73E29">
          <w:rPr>
            <w:rStyle w:val="Hipervnculo"/>
            <w:rFonts w:ascii="Open Sans" w:hAnsi="Open Sans" w:cs="Open Sans"/>
            <w:sz w:val="22"/>
            <w:szCs w:val="22"/>
          </w:rPr>
          <w:t>https://www.topii.es</w:t>
        </w:r>
      </w:hyperlink>
      <w:r w:rsidR="00587977">
        <w:rPr>
          <w:rFonts w:ascii="Open Sans" w:hAnsi="Open Sans" w:cs="Open Sans"/>
          <w:sz w:val="22"/>
          <w:szCs w:val="22"/>
        </w:rPr>
        <w:t xml:space="preserve"> ) para que sea accesible a toda la industria. La herramienta se ha lanzado con 30.000 puntos de retirada de efectivo. Consideramos que este tipo de iniciativas, son complementarias a los cajeros, las oficinas y que pueden ayudar a mejorar el acceso al efectivo.</w:t>
      </w:r>
    </w:p>
    <w:p w14:paraId="075BAAE5" w14:textId="77777777" w:rsidR="004B1CF4" w:rsidRPr="004B1CF4" w:rsidRDefault="004B1CF4" w:rsidP="004B1CF4">
      <w:pPr>
        <w:jc w:val="both"/>
        <w:rPr>
          <w:rFonts w:ascii="Open Sans" w:hAnsi="Open Sans" w:cs="Open Sans"/>
          <w:sz w:val="22"/>
          <w:szCs w:val="22"/>
        </w:rPr>
      </w:pPr>
    </w:p>
    <w:p w14:paraId="41726718" w14:textId="01385688" w:rsidR="004B1CF4" w:rsidRPr="00587977" w:rsidRDefault="004B1CF4" w:rsidP="004B1CF4">
      <w:pPr>
        <w:jc w:val="both"/>
        <w:rPr>
          <w:rFonts w:ascii="Open Sans" w:hAnsi="Open Sans" w:cs="Open Sans"/>
          <w:b/>
          <w:bCs/>
          <w:sz w:val="22"/>
          <w:szCs w:val="22"/>
        </w:rPr>
      </w:pPr>
      <w:r w:rsidRPr="004B1CF4">
        <w:rPr>
          <w:rFonts w:ascii="Open Sans" w:hAnsi="Open Sans" w:cs="Open Sans"/>
          <w:b/>
          <w:bCs/>
          <w:sz w:val="22"/>
          <w:szCs w:val="22"/>
        </w:rPr>
        <w:t>10. ¿Qué papel puede cumplir la educación financiera y digital en materia de inclusión financiera?</w:t>
      </w:r>
    </w:p>
    <w:p w14:paraId="5CE9C940" w14:textId="2F81DC37" w:rsidR="004B1CF4" w:rsidRPr="004B1CF4" w:rsidRDefault="004B1CF4" w:rsidP="004B1CF4">
      <w:pPr>
        <w:jc w:val="both"/>
        <w:rPr>
          <w:rFonts w:ascii="Open Sans" w:hAnsi="Open Sans" w:cs="Open Sans"/>
          <w:sz w:val="22"/>
          <w:szCs w:val="22"/>
        </w:rPr>
      </w:pPr>
      <w:r w:rsidRPr="004B1CF4">
        <w:rPr>
          <w:rFonts w:ascii="Open Sans" w:hAnsi="Open Sans" w:cs="Open Sans"/>
          <w:sz w:val="22"/>
          <w:szCs w:val="22"/>
        </w:rPr>
        <w:t xml:space="preserve">Crucial. Es la base para garantizar que todos los ciudadanos acceden al sistema financiera en condiciones de razonable conocimiento para abordar decisiones que impactan sobremanera en su día a día y capacidad de abordar proyectos en la vida. </w:t>
      </w:r>
      <w:r w:rsidR="00D24B39">
        <w:rPr>
          <w:rFonts w:ascii="Open Sans" w:hAnsi="Open Sans" w:cs="Open Sans"/>
          <w:sz w:val="22"/>
          <w:szCs w:val="22"/>
        </w:rPr>
        <w:t xml:space="preserve">Además, aunque pueda parecer una contradicción, la tecnología </w:t>
      </w:r>
      <w:r w:rsidR="00BD6992">
        <w:rPr>
          <w:rFonts w:ascii="Open Sans" w:hAnsi="Open Sans" w:cs="Open Sans"/>
          <w:sz w:val="22"/>
          <w:szCs w:val="22"/>
        </w:rPr>
        <w:t>puede</w:t>
      </w:r>
      <w:r w:rsidR="00D24B39">
        <w:rPr>
          <w:rFonts w:ascii="Open Sans" w:hAnsi="Open Sans" w:cs="Open Sans"/>
          <w:sz w:val="22"/>
          <w:szCs w:val="22"/>
        </w:rPr>
        <w:t xml:space="preserve"> ser </w:t>
      </w:r>
      <w:r w:rsidR="00BD6992">
        <w:rPr>
          <w:rFonts w:ascii="Open Sans" w:hAnsi="Open Sans" w:cs="Open Sans"/>
          <w:sz w:val="22"/>
          <w:szCs w:val="22"/>
        </w:rPr>
        <w:t xml:space="preserve">la vía para garantizar el acceso al </w:t>
      </w:r>
      <w:r w:rsidR="00A83716">
        <w:rPr>
          <w:rFonts w:ascii="Open Sans" w:hAnsi="Open Sans" w:cs="Open Sans"/>
          <w:sz w:val="22"/>
          <w:szCs w:val="22"/>
        </w:rPr>
        <w:t xml:space="preserve">efectivo. En ASUFIN </w:t>
      </w:r>
      <w:r w:rsidR="00A83716">
        <w:rPr>
          <w:rFonts w:ascii="Open Sans" w:hAnsi="Open Sans" w:cs="Open Sans"/>
          <w:sz w:val="22"/>
          <w:szCs w:val="22"/>
        </w:rPr>
        <w:lastRenderedPageBreak/>
        <w:t xml:space="preserve">desarrollamos desde 2018 un programa de educación financiera y digital que ha recibido el Premio Finanzas para </w:t>
      </w:r>
      <w:r w:rsidR="00FD7E89">
        <w:rPr>
          <w:rFonts w:ascii="Open Sans" w:hAnsi="Open Sans" w:cs="Open Sans"/>
          <w:sz w:val="22"/>
          <w:szCs w:val="22"/>
        </w:rPr>
        <w:t>T</w:t>
      </w:r>
      <w:r w:rsidR="00A83716">
        <w:rPr>
          <w:rFonts w:ascii="Open Sans" w:hAnsi="Open Sans" w:cs="Open Sans"/>
          <w:sz w:val="22"/>
          <w:szCs w:val="22"/>
        </w:rPr>
        <w:t>odos</w:t>
      </w:r>
      <w:r w:rsidR="00FD7E89">
        <w:rPr>
          <w:rFonts w:ascii="Open Sans" w:hAnsi="Open Sans" w:cs="Open Sans"/>
          <w:sz w:val="22"/>
          <w:szCs w:val="22"/>
        </w:rPr>
        <w:t xml:space="preserve"> 2021.</w:t>
      </w:r>
      <w:r w:rsidR="00EF16C9">
        <w:rPr>
          <w:rFonts w:ascii="Open Sans" w:hAnsi="Open Sans" w:cs="Open Sans"/>
          <w:sz w:val="22"/>
          <w:szCs w:val="22"/>
        </w:rPr>
        <w:t xml:space="preserve"> (</w:t>
      </w:r>
      <w:hyperlink r:id="rId13" w:history="1">
        <w:r w:rsidR="00FD7E89">
          <w:rPr>
            <w:rStyle w:val="Hipervnculo"/>
            <w:rFonts w:ascii="Open Sans" w:hAnsi="Open Sans" w:cs="Open Sans"/>
            <w:sz w:val="22"/>
            <w:szCs w:val="22"/>
          </w:rPr>
          <w:t xml:space="preserve">ASUFIN y </w:t>
        </w:r>
        <w:proofErr w:type="spellStart"/>
        <w:r w:rsidR="00FD7E89">
          <w:rPr>
            <w:rStyle w:val="Hipervnculo"/>
            <w:rFonts w:ascii="Open Sans" w:hAnsi="Open Sans" w:cs="Open Sans"/>
            <w:sz w:val="22"/>
            <w:szCs w:val="22"/>
          </w:rPr>
          <w:t>Afundación</w:t>
        </w:r>
        <w:proofErr w:type="spellEnd"/>
        <w:r w:rsidR="00FD7E89">
          <w:rPr>
            <w:rStyle w:val="Hipervnculo"/>
            <w:rFonts w:ascii="Open Sans" w:hAnsi="Open Sans" w:cs="Open Sans"/>
            <w:sz w:val="22"/>
            <w:szCs w:val="22"/>
          </w:rPr>
          <w:t xml:space="preserve"> Obra Social ABANCA, premios Finanzas para Todos del Plan de Educación Financiera 2021</w:t>
        </w:r>
      </w:hyperlink>
      <w:r w:rsidR="00EF16C9">
        <w:rPr>
          <w:rFonts w:ascii="Open Sans" w:hAnsi="Open Sans" w:cs="Open Sans"/>
          <w:sz w:val="22"/>
          <w:szCs w:val="22"/>
        </w:rPr>
        <w:t xml:space="preserve">) </w:t>
      </w:r>
      <w:r w:rsidR="00A83716">
        <w:rPr>
          <w:rFonts w:ascii="Open Sans" w:hAnsi="Open Sans" w:cs="Open Sans"/>
          <w:sz w:val="22"/>
          <w:szCs w:val="22"/>
        </w:rPr>
        <w:t xml:space="preserve"> </w:t>
      </w:r>
    </w:p>
    <w:p w14:paraId="2258B801" w14:textId="77777777" w:rsidR="00BF4D14" w:rsidRPr="004B1CF4" w:rsidRDefault="00BF4D14" w:rsidP="004B1CF4">
      <w:pPr>
        <w:rPr>
          <w:rFonts w:ascii="Open Sans" w:hAnsi="Open Sans" w:cs="Open Sans"/>
          <w:sz w:val="22"/>
          <w:szCs w:val="22"/>
        </w:rPr>
      </w:pPr>
    </w:p>
    <w:sectPr w:rsidR="00BF4D14" w:rsidRPr="004B1CF4" w:rsidSect="00170CD4">
      <w:headerReference w:type="default" r:id="rId14"/>
      <w:footerReference w:type="default" r:id="rId15"/>
      <w:pgSz w:w="11900" w:h="16840"/>
      <w:pgMar w:top="2268" w:right="1418" w:bottom="1276"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175E" w14:textId="77777777" w:rsidR="003C1500" w:rsidRDefault="003C1500" w:rsidP="00DA1912">
      <w:r>
        <w:separator/>
      </w:r>
    </w:p>
  </w:endnote>
  <w:endnote w:type="continuationSeparator" w:id="0">
    <w:p w14:paraId="20A5A3FB" w14:textId="77777777" w:rsidR="003C1500" w:rsidRDefault="003C1500" w:rsidP="00D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90000AAF" w:usb1="09DF7CFB" w:usb2="00000012" w:usb3="00000000" w:csb0="003E01BD"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4891" w14:textId="77777777" w:rsidR="00195AC4" w:rsidRDefault="00195AC4" w:rsidP="00324E0A">
    <w:pPr>
      <w:pStyle w:val="Piedepgina"/>
      <w:tabs>
        <w:tab w:val="clear" w:pos="8504"/>
        <w:tab w:val="right" w:pos="9923"/>
      </w:tabs>
      <w:ind w:right="-1701" w:hanging="2835"/>
      <w:jc w:val="right"/>
    </w:pPr>
  </w:p>
  <w:p w14:paraId="61F3D8FC" w14:textId="77777777" w:rsidR="00195AC4" w:rsidRPr="008E3372" w:rsidRDefault="00195AC4" w:rsidP="00170CD4">
    <w:pPr>
      <w:pStyle w:val="Piedepgina"/>
      <w:pBdr>
        <w:top w:val="single" w:sz="12" w:space="1" w:color="56A944"/>
      </w:pBdr>
      <w:tabs>
        <w:tab w:val="clear" w:pos="8504"/>
      </w:tabs>
      <w:ind w:left="-567" w:right="-575"/>
      <w:jc w:val="center"/>
      <w:rPr>
        <w:rFonts w:ascii="Open Sans" w:hAnsi="Open Sans" w:cs="Open Sans"/>
        <w:color w:val="808080" w:themeColor="background1" w:themeShade="80"/>
        <w:sz w:val="16"/>
        <w:szCs w:val="16"/>
      </w:rPr>
    </w:pPr>
  </w:p>
  <w:p w14:paraId="62D8348E" w14:textId="77777777" w:rsidR="00195AC4" w:rsidRPr="008E3372" w:rsidRDefault="00195AC4" w:rsidP="00170CD4">
    <w:pPr>
      <w:pStyle w:val="Piedepgina"/>
      <w:tabs>
        <w:tab w:val="clear" w:pos="8504"/>
      </w:tabs>
      <w:ind w:left="-567" w:right="-1004"/>
      <w:jc w:val="center"/>
      <w:rPr>
        <w:rFonts w:ascii="Open Sans" w:hAnsi="Open Sans" w:cs="Open Sans"/>
        <w:color w:val="808080" w:themeColor="background1" w:themeShade="80"/>
        <w:sz w:val="16"/>
        <w:szCs w:val="16"/>
      </w:rPr>
    </w:pPr>
    <w:r w:rsidRPr="008E3372">
      <w:rPr>
        <w:rFonts w:ascii="Open Sans" w:hAnsi="Open Sans" w:cs="Open Sans"/>
        <w:color w:val="808080" w:themeColor="background1" w:themeShade="80"/>
        <w:sz w:val="16"/>
        <w:szCs w:val="16"/>
      </w:rPr>
      <w:t xml:space="preserve">Plaza de las Cortes, 4 – 4D – 28014 Madrid – Tel. 915 327 583 – www.asufin.com - info@asufin.com </w:t>
    </w:r>
  </w:p>
  <w:p w14:paraId="1B6512D7" w14:textId="77777777" w:rsidR="00195AC4" w:rsidRPr="008E3372" w:rsidRDefault="00195AC4" w:rsidP="00170CD4">
    <w:pPr>
      <w:pStyle w:val="Piedepgina"/>
      <w:tabs>
        <w:tab w:val="clear" w:pos="8504"/>
      </w:tabs>
      <w:ind w:left="-567" w:right="-1004"/>
      <w:jc w:val="center"/>
      <w:rPr>
        <w:rFonts w:ascii="Open Sans" w:hAnsi="Open Sans" w:cs="Open Sans"/>
        <w:color w:val="808080" w:themeColor="background1" w:themeShade="80"/>
        <w:sz w:val="16"/>
        <w:szCs w:val="16"/>
      </w:rPr>
    </w:pPr>
    <w:r w:rsidRPr="008E3372">
      <w:rPr>
        <w:rFonts w:ascii="Open Sans" w:hAnsi="Open Sans" w:cs="Open Sans"/>
        <w:color w:val="808080" w:themeColor="background1" w:themeShade="80"/>
        <w:sz w:val="16"/>
        <w:szCs w:val="16"/>
      </w:rPr>
      <w:t>CIF G85769743 – Registro Estatal de Asociaciones de Consumidores y Usuarios nr. 21</w:t>
    </w:r>
  </w:p>
  <w:p w14:paraId="0F908120" w14:textId="77777777" w:rsidR="00195AC4" w:rsidRPr="008E3372" w:rsidRDefault="00195AC4" w:rsidP="00170CD4">
    <w:pPr>
      <w:pStyle w:val="Piedepgina"/>
      <w:tabs>
        <w:tab w:val="clear" w:pos="8504"/>
      </w:tabs>
      <w:ind w:left="-567" w:right="-1004"/>
      <w:jc w:val="center"/>
      <w:rPr>
        <w:rFonts w:ascii="Open Sans" w:hAnsi="Open Sans" w:cs="Open Sans"/>
        <w:color w:val="808080" w:themeColor="background1" w:themeShade="80"/>
        <w:sz w:val="16"/>
        <w:szCs w:val="16"/>
      </w:rPr>
    </w:pPr>
    <w:r w:rsidRPr="008E3372">
      <w:rPr>
        <w:rFonts w:ascii="Open Sans" w:hAnsi="Open Sans" w:cs="Open Sans"/>
        <w:color w:val="808080" w:themeColor="background1" w:themeShade="80"/>
        <w:sz w:val="16"/>
        <w:szCs w:val="16"/>
      </w:rPr>
      <w:fldChar w:fldCharType="begin"/>
    </w:r>
    <w:r w:rsidRPr="008E3372">
      <w:rPr>
        <w:rFonts w:ascii="Open Sans" w:hAnsi="Open Sans" w:cs="Open Sans"/>
        <w:color w:val="808080" w:themeColor="background1" w:themeShade="80"/>
        <w:sz w:val="16"/>
        <w:szCs w:val="16"/>
      </w:rPr>
      <w:instrText xml:space="preserve"> PAGE </w:instrText>
    </w:r>
    <w:r w:rsidRPr="008E3372">
      <w:rPr>
        <w:rFonts w:ascii="Open Sans" w:hAnsi="Open Sans" w:cs="Open Sans"/>
        <w:color w:val="808080" w:themeColor="background1" w:themeShade="80"/>
        <w:sz w:val="16"/>
        <w:szCs w:val="16"/>
      </w:rPr>
      <w:fldChar w:fldCharType="separate"/>
    </w:r>
    <w:r w:rsidR="00FC7F0A" w:rsidRPr="008E3372">
      <w:rPr>
        <w:rFonts w:ascii="Open Sans" w:hAnsi="Open Sans" w:cs="Open Sans"/>
        <w:noProof/>
        <w:color w:val="808080" w:themeColor="background1" w:themeShade="80"/>
        <w:sz w:val="16"/>
        <w:szCs w:val="16"/>
      </w:rPr>
      <w:t>1</w:t>
    </w:r>
    <w:r w:rsidRPr="008E3372">
      <w:rPr>
        <w:rFonts w:ascii="Open Sans" w:hAnsi="Open Sans" w:cs="Open Sans"/>
        <w:color w:val="808080" w:themeColor="background1" w:themeShade="80"/>
        <w:sz w:val="16"/>
        <w:szCs w:val="16"/>
      </w:rPr>
      <w:fldChar w:fldCharType="end"/>
    </w:r>
    <w:r w:rsidRPr="008E3372">
      <w:rPr>
        <w:rFonts w:ascii="Open Sans" w:hAnsi="Open Sans" w:cs="Open Sans"/>
        <w:color w:val="808080" w:themeColor="background1" w:themeShade="80"/>
        <w:sz w:val="16"/>
        <w:szCs w:val="16"/>
      </w:rPr>
      <w:t xml:space="preserve"> | </w:t>
    </w:r>
    <w:r w:rsidRPr="008E3372">
      <w:rPr>
        <w:rFonts w:ascii="Open Sans" w:hAnsi="Open Sans" w:cs="Open Sans"/>
        <w:color w:val="808080" w:themeColor="background1" w:themeShade="80"/>
        <w:sz w:val="16"/>
        <w:szCs w:val="16"/>
      </w:rPr>
      <w:fldChar w:fldCharType="begin"/>
    </w:r>
    <w:r w:rsidRPr="008E3372">
      <w:rPr>
        <w:rFonts w:ascii="Open Sans" w:hAnsi="Open Sans" w:cs="Open Sans"/>
        <w:color w:val="808080" w:themeColor="background1" w:themeShade="80"/>
        <w:sz w:val="16"/>
        <w:szCs w:val="16"/>
      </w:rPr>
      <w:instrText xml:space="preserve"> NUMPAGES </w:instrText>
    </w:r>
    <w:r w:rsidRPr="008E3372">
      <w:rPr>
        <w:rFonts w:ascii="Open Sans" w:hAnsi="Open Sans" w:cs="Open Sans"/>
        <w:color w:val="808080" w:themeColor="background1" w:themeShade="80"/>
        <w:sz w:val="16"/>
        <w:szCs w:val="16"/>
      </w:rPr>
      <w:fldChar w:fldCharType="separate"/>
    </w:r>
    <w:r w:rsidR="00FC7F0A" w:rsidRPr="008E3372">
      <w:rPr>
        <w:rFonts w:ascii="Open Sans" w:hAnsi="Open Sans" w:cs="Open Sans"/>
        <w:noProof/>
        <w:color w:val="808080" w:themeColor="background1" w:themeShade="80"/>
        <w:sz w:val="16"/>
        <w:szCs w:val="16"/>
      </w:rPr>
      <w:t>1</w:t>
    </w:r>
    <w:r w:rsidRPr="008E3372">
      <w:rPr>
        <w:rFonts w:ascii="Open Sans" w:hAnsi="Open Sans" w:cs="Open Sans"/>
        <w:color w:val="808080" w:themeColor="background1" w:themeShade="80"/>
        <w:sz w:val="16"/>
        <w:szCs w:val="16"/>
      </w:rPr>
      <w:fldChar w:fldCharType="end"/>
    </w:r>
  </w:p>
  <w:p w14:paraId="35B652E3" w14:textId="77777777" w:rsidR="00195AC4" w:rsidRPr="00324E0A" w:rsidRDefault="00195AC4" w:rsidP="00170CD4">
    <w:pPr>
      <w:pStyle w:val="Piedepgina"/>
      <w:tabs>
        <w:tab w:val="clear" w:pos="8504"/>
      </w:tabs>
      <w:ind w:left="-1701" w:right="-1004"/>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98A2" w14:textId="77777777" w:rsidR="003C1500" w:rsidRDefault="003C1500" w:rsidP="00DA1912">
      <w:r>
        <w:separator/>
      </w:r>
    </w:p>
  </w:footnote>
  <w:footnote w:type="continuationSeparator" w:id="0">
    <w:p w14:paraId="43B12AAC" w14:textId="77777777" w:rsidR="003C1500" w:rsidRDefault="003C1500" w:rsidP="00DA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741E" w14:textId="77777777" w:rsidR="00195AC4" w:rsidRDefault="00195AC4" w:rsidP="00504C98">
    <w:pPr>
      <w:pBdr>
        <w:bottom w:val="single" w:sz="12" w:space="1" w:color="CC006A"/>
      </w:pBdr>
      <w:ind w:right="-573" w:hanging="567"/>
    </w:pPr>
    <w:r>
      <w:rPr>
        <w:noProof/>
        <w:lang w:eastAsia="es-ES"/>
      </w:rPr>
      <w:drawing>
        <wp:inline distT="0" distB="0" distL="0" distR="0" wp14:anchorId="6674CF2A" wp14:editId="2A3C7B8A">
          <wp:extent cx="1885732" cy="609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SUFIN_LOGO_NUEVO_hor.jpg"/>
                  <pic:cNvPicPr/>
                </pic:nvPicPr>
                <pic:blipFill>
                  <a:blip r:embed="rId1">
                    <a:extLst>
                      <a:ext uri="{28A0092B-C50C-407E-A947-70E740481C1C}">
                        <a14:useLocalDpi xmlns:a14="http://schemas.microsoft.com/office/drawing/2010/main" val="0"/>
                      </a:ext>
                    </a:extLst>
                  </a:blip>
                  <a:stretch>
                    <a:fillRect/>
                  </a:stretch>
                </pic:blipFill>
                <pic:spPr>
                  <a:xfrm>
                    <a:off x="0" y="0"/>
                    <a:ext cx="1885732" cy="609795"/>
                  </a:xfrm>
                  <a:prstGeom prst="rect">
                    <a:avLst/>
                  </a:prstGeom>
                </pic:spPr>
              </pic:pic>
            </a:graphicData>
          </a:graphic>
        </wp:inline>
      </w:drawing>
    </w:r>
    <w:r>
      <w:tab/>
    </w:r>
    <w:r>
      <w:tab/>
    </w:r>
    <w:r>
      <w:tab/>
    </w:r>
    <w:r>
      <w:tab/>
    </w:r>
    <w:r>
      <w:tab/>
    </w:r>
    <w:r>
      <w:tab/>
    </w:r>
    <w:r>
      <w:tab/>
    </w:r>
    <w:r>
      <w:tab/>
    </w:r>
    <w:r>
      <w:tab/>
    </w:r>
    <w:r>
      <w:rPr>
        <w:b/>
        <w:noProof/>
        <w:lang w:eastAsia="es-ES"/>
      </w:rPr>
      <w:drawing>
        <wp:inline distT="0" distB="0" distL="0" distR="0" wp14:anchorId="6D5C2B95" wp14:editId="0400D3CA">
          <wp:extent cx="576000" cy="576000"/>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2020-2030.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4C5484C1" w14:textId="77777777" w:rsidR="00195AC4" w:rsidRPr="00E11B95" w:rsidRDefault="00195AC4" w:rsidP="00504C98">
    <w:pPr>
      <w:pBdr>
        <w:bottom w:val="single" w:sz="12" w:space="1" w:color="CC006A"/>
      </w:pBdr>
      <w:ind w:right="-573" w:hanging="56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F85"/>
    <w:multiLevelType w:val="hybridMultilevel"/>
    <w:tmpl w:val="858A9AE6"/>
    <w:lvl w:ilvl="0" w:tplc="EFFC1510">
      <w:start w:val="1"/>
      <w:numFmt w:val="decimal"/>
      <w:lvlText w:val="%1."/>
      <w:lvlJc w:val="left"/>
      <w:pPr>
        <w:ind w:left="866" w:hanging="440"/>
      </w:pPr>
      <w:rPr>
        <w:rFonts w:hint="default"/>
        <w:color w:val="00000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892167A"/>
    <w:multiLevelType w:val="hybridMultilevel"/>
    <w:tmpl w:val="09A67704"/>
    <w:lvl w:ilvl="0" w:tplc="34EED722">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53C6A"/>
    <w:multiLevelType w:val="hybridMultilevel"/>
    <w:tmpl w:val="D9F07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AB550C"/>
    <w:multiLevelType w:val="hybridMultilevel"/>
    <w:tmpl w:val="E182E2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B95367"/>
    <w:multiLevelType w:val="hybridMultilevel"/>
    <w:tmpl w:val="D73CA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743E82"/>
    <w:multiLevelType w:val="hybridMultilevel"/>
    <w:tmpl w:val="C79418BE"/>
    <w:lvl w:ilvl="0" w:tplc="A8A07EE0">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32289904">
    <w:abstractNumId w:val="1"/>
  </w:num>
  <w:num w:numId="2" w16cid:durableId="1000737000">
    <w:abstractNumId w:val="0"/>
  </w:num>
  <w:num w:numId="3" w16cid:durableId="1709599562">
    <w:abstractNumId w:val="5"/>
  </w:num>
  <w:num w:numId="4" w16cid:durableId="1679691961">
    <w:abstractNumId w:val="4"/>
  </w:num>
  <w:num w:numId="5" w16cid:durableId="1743526590">
    <w:abstractNumId w:val="2"/>
  </w:num>
  <w:num w:numId="6" w16cid:durableId="175335585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F4"/>
    <w:rsid w:val="0000321C"/>
    <w:rsid w:val="00020F4B"/>
    <w:rsid w:val="00022709"/>
    <w:rsid w:val="00026182"/>
    <w:rsid w:val="00026B12"/>
    <w:rsid w:val="00031393"/>
    <w:rsid w:val="00040262"/>
    <w:rsid w:val="000418DF"/>
    <w:rsid w:val="000430D6"/>
    <w:rsid w:val="0004569B"/>
    <w:rsid w:val="00045B4D"/>
    <w:rsid w:val="00051438"/>
    <w:rsid w:val="000554DA"/>
    <w:rsid w:val="000563A5"/>
    <w:rsid w:val="00064764"/>
    <w:rsid w:val="00067976"/>
    <w:rsid w:val="000729D9"/>
    <w:rsid w:val="00073248"/>
    <w:rsid w:val="00076053"/>
    <w:rsid w:val="00087699"/>
    <w:rsid w:val="0009348A"/>
    <w:rsid w:val="000939E5"/>
    <w:rsid w:val="000962F3"/>
    <w:rsid w:val="00097871"/>
    <w:rsid w:val="000C680D"/>
    <w:rsid w:val="000D1AC6"/>
    <w:rsid w:val="000F137F"/>
    <w:rsid w:val="000F241B"/>
    <w:rsid w:val="000F3878"/>
    <w:rsid w:val="000F4044"/>
    <w:rsid w:val="00100AD4"/>
    <w:rsid w:val="00104E57"/>
    <w:rsid w:val="0010569D"/>
    <w:rsid w:val="00106DB3"/>
    <w:rsid w:val="00123024"/>
    <w:rsid w:val="0012449F"/>
    <w:rsid w:val="0012533F"/>
    <w:rsid w:val="00126E0C"/>
    <w:rsid w:val="00130C5D"/>
    <w:rsid w:val="001316E5"/>
    <w:rsid w:val="00141662"/>
    <w:rsid w:val="00141F84"/>
    <w:rsid w:val="001452EF"/>
    <w:rsid w:val="00156F43"/>
    <w:rsid w:val="00157409"/>
    <w:rsid w:val="00157DE6"/>
    <w:rsid w:val="0016037E"/>
    <w:rsid w:val="001655EA"/>
    <w:rsid w:val="00170CD4"/>
    <w:rsid w:val="0017482D"/>
    <w:rsid w:val="00176727"/>
    <w:rsid w:val="00177CCC"/>
    <w:rsid w:val="00187B89"/>
    <w:rsid w:val="00190858"/>
    <w:rsid w:val="00195AC4"/>
    <w:rsid w:val="001A3C9A"/>
    <w:rsid w:val="001A4359"/>
    <w:rsid w:val="001A7E60"/>
    <w:rsid w:val="001B1264"/>
    <w:rsid w:val="001B1919"/>
    <w:rsid w:val="001B1F57"/>
    <w:rsid w:val="001B257B"/>
    <w:rsid w:val="001B6BFD"/>
    <w:rsid w:val="001C389E"/>
    <w:rsid w:val="001C6374"/>
    <w:rsid w:val="001D6979"/>
    <w:rsid w:val="001E6498"/>
    <w:rsid w:val="001F7304"/>
    <w:rsid w:val="00203E19"/>
    <w:rsid w:val="00213555"/>
    <w:rsid w:val="00213C7A"/>
    <w:rsid w:val="00214C18"/>
    <w:rsid w:val="002160C9"/>
    <w:rsid w:val="00220A4E"/>
    <w:rsid w:val="00222AA3"/>
    <w:rsid w:val="00224497"/>
    <w:rsid w:val="00225940"/>
    <w:rsid w:val="00232955"/>
    <w:rsid w:val="002429EC"/>
    <w:rsid w:val="00251F18"/>
    <w:rsid w:val="002524E1"/>
    <w:rsid w:val="00255040"/>
    <w:rsid w:val="0025772D"/>
    <w:rsid w:val="0026239E"/>
    <w:rsid w:val="002671BF"/>
    <w:rsid w:val="002702F6"/>
    <w:rsid w:val="002760B7"/>
    <w:rsid w:val="00277FBC"/>
    <w:rsid w:val="00285FC2"/>
    <w:rsid w:val="002945E0"/>
    <w:rsid w:val="00295DDE"/>
    <w:rsid w:val="002A25EE"/>
    <w:rsid w:val="002B1A03"/>
    <w:rsid w:val="002B3C25"/>
    <w:rsid w:val="002B45AA"/>
    <w:rsid w:val="002C0D69"/>
    <w:rsid w:val="002C202A"/>
    <w:rsid w:val="002C3FCA"/>
    <w:rsid w:val="002C5027"/>
    <w:rsid w:val="002C539E"/>
    <w:rsid w:val="002C703E"/>
    <w:rsid w:val="002C7D80"/>
    <w:rsid w:val="002D45C8"/>
    <w:rsid w:val="002E25BE"/>
    <w:rsid w:val="002E657A"/>
    <w:rsid w:val="002E7016"/>
    <w:rsid w:val="002F154C"/>
    <w:rsid w:val="002F68E1"/>
    <w:rsid w:val="00307520"/>
    <w:rsid w:val="00312F93"/>
    <w:rsid w:val="003237AF"/>
    <w:rsid w:val="00324E0A"/>
    <w:rsid w:val="0033107E"/>
    <w:rsid w:val="003314F9"/>
    <w:rsid w:val="00333420"/>
    <w:rsid w:val="0033361A"/>
    <w:rsid w:val="00346D0D"/>
    <w:rsid w:val="00355F9D"/>
    <w:rsid w:val="0035660E"/>
    <w:rsid w:val="00356AC7"/>
    <w:rsid w:val="00363BCC"/>
    <w:rsid w:val="00363C00"/>
    <w:rsid w:val="00373E8C"/>
    <w:rsid w:val="0038578B"/>
    <w:rsid w:val="003A1DC0"/>
    <w:rsid w:val="003A26D8"/>
    <w:rsid w:val="003A2748"/>
    <w:rsid w:val="003A6B82"/>
    <w:rsid w:val="003B1CD7"/>
    <w:rsid w:val="003B6480"/>
    <w:rsid w:val="003C1500"/>
    <w:rsid w:val="003C626F"/>
    <w:rsid w:val="003C7857"/>
    <w:rsid w:val="003D3ECB"/>
    <w:rsid w:val="003E46B8"/>
    <w:rsid w:val="003F160E"/>
    <w:rsid w:val="003F6788"/>
    <w:rsid w:val="003F788B"/>
    <w:rsid w:val="004012F3"/>
    <w:rsid w:val="00401A70"/>
    <w:rsid w:val="00402568"/>
    <w:rsid w:val="004026E9"/>
    <w:rsid w:val="004030ED"/>
    <w:rsid w:val="00403390"/>
    <w:rsid w:val="00404335"/>
    <w:rsid w:val="00410316"/>
    <w:rsid w:val="00436E8C"/>
    <w:rsid w:val="004371CD"/>
    <w:rsid w:val="00461FC3"/>
    <w:rsid w:val="004668ED"/>
    <w:rsid w:val="00467B82"/>
    <w:rsid w:val="0047410D"/>
    <w:rsid w:val="00490DD2"/>
    <w:rsid w:val="004A6E82"/>
    <w:rsid w:val="004B04F1"/>
    <w:rsid w:val="004B1CF4"/>
    <w:rsid w:val="004B6AAC"/>
    <w:rsid w:val="004C2D95"/>
    <w:rsid w:val="004D02D9"/>
    <w:rsid w:val="004D19BF"/>
    <w:rsid w:val="004D1ACD"/>
    <w:rsid w:val="004E2B49"/>
    <w:rsid w:val="004E3E5D"/>
    <w:rsid w:val="004E4B8D"/>
    <w:rsid w:val="004F02B3"/>
    <w:rsid w:val="004F08C9"/>
    <w:rsid w:val="00504C98"/>
    <w:rsid w:val="00507026"/>
    <w:rsid w:val="0051232D"/>
    <w:rsid w:val="00515063"/>
    <w:rsid w:val="005177D0"/>
    <w:rsid w:val="00524DDB"/>
    <w:rsid w:val="00531FCB"/>
    <w:rsid w:val="005351F2"/>
    <w:rsid w:val="00540A32"/>
    <w:rsid w:val="00540E08"/>
    <w:rsid w:val="00542124"/>
    <w:rsid w:val="00542138"/>
    <w:rsid w:val="00545EAB"/>
    <w:rsid w:val="00546A16"/>
    <w:rsid w:val="005524D9"/>
    <w:rsid w:val="00552941"/>
    <w:rsid w:val="0056459D"/>
    <w:rsid w:val="00564931"/>
    <w:rsid w:val="00570E04"/>
    <w:rsid w:val="00587977"/>
    <w:rsid w:val="005957BB"/>
    <w:rsid w:val="005A243A"/>
    <w:rsid w:val="005A63FD"/>
    <w:rsid w:val="005C6550"/>
    <w:rsid w:val="005E1200"/>
    <w:rsid w:val="005E4983"/>
    <w:rsid w:val="005E746A"/>
    <w:rsid w:val="005E78C5"/>
    <w:rsid w:val="005F651B"/>
    <w:rsid w:val="00606E98"/>
    <w:rsid w:val="0061190E"/>
    <w:rsid w:val="006126D5"/>
    <w:rsid w:val="0062581D"/>
    <w:rsid w:val="0064690F"/>
    <w:rsid w:val="00653019"/>
    <w:rsid w:val="00654C25"/>
    <w:rsid w:val="00666377"/>
    <w:rsid w:val="006674CD"/>
    <w:rsid w:val="0069539E"/>
    <w:rsid w:val="0069579F"/>
    <w:rsid w:val="006A18D0"/>
    <w:rsid w:val="006A21F6"/>
    <w:rsid w:val="006B4774"/>
    <w:rsid w:val="006B4EC3"/>
    <w:rsid w:val="006C2528"/>
    <w:rsid w:val="006C2865"/>
    <w:rsid w:val="006C69E1"/>
    <w:rsid w:val="006D2668"/>
    <w:rsid w:val="006D441E"/>
    <w:rsid w:val="006D5168"/>
    <w:rsid w:val="006D7CC0"/>
    <w:rsid w:val="006E5555"/>
    <w:rsid w:val="006E704D"/>
    <w:rsid w:val="00703041"/>
    <w:rsid w:val="00707659"/>
    <w:rsid w:val="007127E9"/>
    <w:rsid w:val="00712CB9"/>
    <w:rsid w:val="00727514"/>
    <w:rsid w:val="0073253E"/>
    <w:rsid w:val="00747586"/>
    <w:rsid w:val="0075301E"/>
    <w:rsid w:val="00754CCD"/>
    <w:rsid w:val="00756C4A"/>
    <w:rsid w:val="00760CC8"/>
    <w:rsid w:val="007660A3"/>
    <w:rsid w:val="00767161"/>
    <w:rsid w:val="007719BF"/>
    <w:rsid w:val="00782514"/>
    <w:rsid w:val="007856E0"/>
    <w:rsid w:val="00795E0D"/>
    <w:rsid w:val="007A0891"/>
    <w:rsid w:val="007A0C06"/>
    <w:rsid w:val="007A4A87"/>
    <w:rsid w:val="007B77E2"/>
    <w:rsid w:val="007E4261"/>
    <w:rsid w:val="007F133F"/>
    <w:rsid w:val="007F29BD"/>
    <w:rsid w:val="007F5439"/>
    <w:rsid w:val="008010B6"/>
    <w:rsid w:val="0080521E"/>
    <w:rsid w:val="0081026F"/>
    <w:rsid w:val="00814FE2"/>
    <w:rsid w:val="0081731A"/>
    <w:rsid w:val="00822DA0"/>
    <w:rsid w:val="00825954"/>
    <w:rsid w:val="00826DF6"/>
    <w:rsid w:val="008271AA"/>
    <w:rsid w:val="00832A2F"/>
    <w:rsid w:val="00833CF4"/>
    <w:rsid w:val="00834C7E"/>
    <w:rsid w:val="00837D6B"/>
    <w:rsid w:val="0084187A"/>
    <w:rsid w:val="008431C0"/>
    <w:rsid w:val="00846A3B"/>
    <w:rsid w:val="00860253"/>
    <w:rsid w:val="0086243B"/>
    <w:rsid w:val="008737B7"/>
    <w:rsid w:val="00890137"/>
    <w:rsid w:val="008903BC"/>
    <w:rsid w:val="0089258D"/>
    <w:rsid w:val="008A3874"/>
    <w:rsid w:val="008A5411"/>
    <w:rsid w:val="008B586A"/>
    <w:rsid w:val="008B6402"/>
    <w:rsid w:val="008B69DE"/>
    <w:rsid w:val="008C1755"/>
    <w:rsid w:val="008C1F4D"/>
    <w:rsid w:val="008C3F36"/>
    <w:rsid w:val="008C68E7"/>
    <w:rsid w:val="008D2511"/>
    <w:rsid w:val="008D38ED"/>
    <w:rsid w:val="008E0537"/>
    <w:rsid w:val="008E3372"/>
    <w:rsid w:val="008E5A0C"/>
    <w:rsid w:val="008F31F4"/>
    <w:rsid w:val="00902D8E"/>
    <w:rsid w:val="00917110"/>
    <w:rsid w:val="00917342"/>
    <w:rsid w:val="00931056"/>
    <w:rsid w:val="0093372D"/>
    <w:rsid w:val="0093569F"/>
    <w:rsid w:val="00945FA1"/>
    <w:rsid w:val="00955084"/>
    <w:rsid w:val="0096287D"/>
    <w:rsid w:val="00962FD7"/>
    <w:rsid w:val="00963C16"/>
    <w:rsid w:val="00970966"/>
    <w:rsid w:val="00991F0B"/>
    <w:rsid w:val="00992FA6"/>
    <w:rsid w:val="009943BB"/>
    <w:rsid w:val="0099500E"/>
    <w:rsid w:val="009B740D"/>
    <w:rsid w:val="009C1485"/>
    <w:rsid w:val="009C5FDB"/>
    <w:rsid w:val="009C6289"/>
    <w:rsid w:val="009E0895"/>
    <w:rsid w:val="009F0719"/>
    <w:rsid w:val="009F2434"/>
    <w:rsid w:val="00A031D6"/>
    <w:rsid w:val="00A126B4"/>
    <w:rsid w:val="00A1342A"/>
    <w:rsid w:val="00A27731"/>
    <w:rsid w:val="00A40EEC"/>
    <w:rsid w:val="00A41C96"/>
    <w:rsid w:val="00A47618"/>
    <w:rsid w:val="00A56F61"/>
    <w:rsid w:val="00A62244"/>
    <w:rsid w:val="00A62701"/>
    <w:rsid w:val="00A631E8"/>
    <w:rsid w:val="00A65106"/>
    <w:rsid w:val="00A721B4"/>
    <w:rsid w:val="00A72D79"/>
    <w:rsid w:val="00A734A0"/>
    <w:rsid w:val="00A73C1C"/>
    <w:rsid w:val="00A758A0"/>
    <w:rsid w:val="00A76070"/>
    <w:rsid w:val="00A8324D"/>
    <w:rsid w:val="00A83716"/>
    <w:rsid w:val="00A86049"/>
    <w:rsid w:val="00A92F2A"/>
    <w:rsid w:val="00A93CBE"/>
    <w:rsid w:val="00A9568B"/>
    <w:rsid w:val="00AA192F"/>
    <w:rsid w:val="00AA6CF1"/>
    <w:rsid w:val="00AA7A07"/>
    <w:rsid w:val="00AB6AF4"/>
    <w:rsid w:val="00AC1B01"/>
    <w:rsid w:val="00AD3C4F"/>
    <w:rsid w:val="00AF166B"/>
    <w:rsid w:val="00AF3A04"/>
    <w:rsid w:val="00B06112"/>
    <w:rsid w:val="00B21DB2"/>
    <w:rsid w:val="00B244BE"/>
    <w:rsid w:val="00B258AC"/>
    <w:rsid w:val="00B25B59"/>
    <w:rsid w:val="00B37BF5"/>
    <w:rsid w:val="00B400F6"/>
    <w:rsid w:val="00B44C0E"/>
    <w:rsid w:val="00B51E73"/>
    <w:rsid w:val="00B67B13"/>
    <w:rsid w:val="00B70FA4"/>
    <w:rsid w:val="00B714DF"/>
    <w:rsid w:val="00B751DD"/>
    <w:rsid w:val="00B80FCC"/>
    <w:rsid w:val="00B8192B"/>
    <w:rsid w:val="00B83228"/>
    <w:rsid w:val="00B91785"/>
    <w:rsid w:val="00B93001"/>
    <w:rsid w:val="00BA2946"/>
    <w:rsid w:val="00BA59B1"/>
    <w:rsid w:val="00BB0106"/>
    <w:rsid w:val="00BB0923"/>
    <w:rsid w:val="00BB5659"/>
    <w:rsid w:val="00BC05D4"/>
    <w:rsid w:val="00BC1D82"/>
    <w:rsid w:val="00BC4406"/>
    <w:rsid w:val="00BD6992"/>
    <w:rsid w:val="00BD72D8"/>
    <w:rsid w:val="00BE18EA"/>
    <w:rsid w:val="00BE5D9D"/>
    <w:rsid w:val="00BE759A"/>
    <w:rsid w:val="00BF4089"/>
    <w:rsid w:val="00BF4CB3"/>
    <w:rsid w:val="00BF4D14"/>
    <w:rsid w:val="00C01D94"/>
    <w:rsid w:val="00C02038"/>
    <w:rsid w:val="00C038E2"/>
    <w:rsid w:val="00C06E19"/>
    <w:rsid w:val="00C114D8"/>
    <w:rsid w:val="00C11FA3"/>
    <w:rsid w:val="00C1292E"/>
    <w:rsid w:val="00C16E12"/>
    <w:rsid w:val="00C21515"/>
    <w:rsid w:val="00C2474C"/>
    <w:rsid w:val="00C32D9F"/>
    <w:rsid w:val="00C37EDD"/>
    <w:rsid w:val="00C62FE3"/>
    <w:rsid w:val="00C706D5"/>
    <w:rsid w:val="00C70BC0"/>
    <w:rsid w:val="00C71487"/>
    <w:rsid w:val="00C73A5E"/>
    <w:rsid w:val="00C77C47"/>
    <w:rsid w:val="00C8435F"/>
    <w:rsid w:val="00C86D44"/>
    <w:rsid w:val="00C955BC"/>
    <w:rsid w:val="00CA641E"/>
    <w:rsid w:val="00CA655F"/>
    <w:rsid w:val="00CB5A5C"/>
    <w:rsid w:val="00CD1282"/>
    <w:rsid w:val="00CD68D5"/>
    <w:rsid w:val="00CD6E68"/>
    <w:rsid w:val="00CF2917"/>
    <w:rsid w:val="00D00BC9"/>
    <w:rsid w:val="00D02863"/>
    <w:rsid w:val="00D12172"/>
    <w:rsid w:val="00D20E74"/>
    <w:rsid w:val="00D22DCD"/>
    <w:rsid w:val="00D23802"/>
    <w:rsid w:val="00D24398"/>
    <w:rsid w:val="00D24B39"/>
    <w:rsid w:val="00D256A7"/>
    <w:rsid w:val="00D334D1"/>
    <w:rsid w:val="00D43394"/>
    <w:rsid w:val="00D435DD"/>
    <w:rsid w:val="00D6032E"/>
    <w:rsid w:val="00D62D83"/>
    <w:rsid w:val="00D807CF"/>
    <w:rsid w:val="00D849A9"/>
    <w:rsid w:val="00D91998"/>
    <w:rsid w:val="00DA1912"/>
    <w:rsid w:val="00DA5136"/>
    <w:rsid w:val="00DA65B9"/>
    <w:rsid w:val="00DB789D"/>
    <w:rsid w:val="00DC4E45"/>
    <w:rsid w:val="00DD348C"/>
    <w:rsid w:val="00DE3F7F"/>
    <w:rsid w:val="00DE64D1"/>
    <w:rsid w:val="00DF02FB"/>
    <w:rsid w:val="00DF47F9"/>
    <w:rsid w:val="00DF62B9"/>
    <w:rsid w:val="00E00AC3"/>
    <w:rsid w:val="00E062AA"/>
    <w:rsid w:val="00E11B95"/>
    <w:rsid w:val="00E179A0"/>
    <w:rsid w:val="00E17BB1"/>
    <w:rsid w:val="00E22440"/>
    <w:rsid w:val="00E35692"/>
    <w:rsid w:val="00E35FC2"/>
    <w:rsid w:val="00E3691A"/>
    <w:rsid w:val="00E36E16"/>
    <w:rsid w:val="00E54141"/>
    <w:rsid w:val="00E555A2"/>
    <w:rsid w:val="00E61C84"/>
    <w:rsid w:val="00E82FFA"/>
    <w:rsid w:val="00E84DAC"/>
    <w:rsid w:val="00E86D73"/>
    <w:rsid w:val="00E959FD"/>
    <w:rsid w:val="00E96730"/>
    <w:rsid w:val="00EB6C8B"/>
    <w:rsid w:val="00EC0B9B"/>
    <w:rsid w:val="00EC71C3"/>
    <w:rsid w:val="00EC7E19"/>
    <w:rsid w:val="00ED72C5"/>
    <w:rsid w:val="00EE0080"/>
    <w:rsid w:val="00EE5967"/>
    <w:rsid w:val="00EF16C9"/>
    <w:rsid w:val="00EF4AE6"/>
    <w:rsid w:val="00F021F0"/>
    <w:rsid w:val="00F04BAE"/>
    <w:rsid w:val="00F05453"/>
    <w:rsid w:val="00F133D9"/>
    <w:rsid w:val="00F17D00"/>
    <w:rsid w:val="00F244A8"/>
    <w:rsid w:val="00F3251F"/>
    <w:rsid w:val="00F36D04"/>
    <w:rsid w:val="00F41A31"/>
    <w:rsid w:val="00F47F3A"/>
    <w:rsid w:val="00F532F2"/>
    <w:rsid w:val="00F54FA2"/>
    <w:rsid w:val="00F60AE1"/>
    <w:rsid w:val="00F624F9"/>
    <w:rsid w:val="00F63222"/>
    <w:rsid w:val="00F651A0"/>
    <w:rsid w:val="00F668C8"/>
    <w:rsid w:val="00F702E9"/>
    <w:rsid w:val="00F828BC"/>
    <w:rsid w:val="00F85595"/>
    <w:rsid w:val="00F8776B"/>
    <w:rsid w:val="00F902CF"/>
    <w:rsid w:val="00F90B52"/>
    <w:rsid w:val="00FA3FF4"/>
    <w:rsid w:val="00FA59D3"/>
    <w:rsid w:val="00FA7FC0"/>
    <w:rsid w:val="00FB32FE"/>
    <w:rsid w:val="00FC0414"/>
    <w:rsid w:val="00FC7F0A"/>
    <w:rsid w:val="00FD4917"/>
    <w:rsid w:val="00FD7A84"/>
    <w:rsid w:val="00FD7E8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89C26"/>
  <w14:defaultImageDpi w14:val="300"/>
  <w15:docId w15:val="{C11BBC4B-6AC6-0543-9828-50473102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F4"/>
    <w:rPr>
      <w:rFonts w:eastAsiaTheme="minorHAnsi"/>
      <w:lang w:val="es-ES" w:eastAsia="en-US"/>
    </w:rPr>
  </w:style>
  <w:style w:type="paragraph" w:styleId="Ttulo1">
    <w:name w:val="heading 1"/>
    <w:basedOn w:val="Normal"/>
    <w:next w:val="Normal"/>
    <w:link w:val="Ttulo1Car"/>
    <w:autoRedefine/>
    <w:qFormat/>
    <w:rsid w:val="003314F9"/>
    <w:pPr>
      <w:keepNext/>
      <w:suppressAutoHyphens/>
      <w:jc w:val="center"/>
      <w:outlineLvl w:val="0"/>
    </w:pPr>
    <w:rPr>
      <w:rFonts w:ascii="Montserrat" w:eastAsia="Times New Roman" w:hAnsi="Montserrat" w:cs="Arial"/>
      <w:b/>
      <w:bCs/>
      <w:sz w:val="28"/>
      <w:lang w:eastAsia="ar-SA"/>
    </w:rPr>
  </w:style>
  <w:style w:type="paragraph" w:styleId="Ttulo2">
    <w:name w:val="heading 2"/>
    <w:basedOn w:val="Ttulo1"/>
    <w:next w:val="Normal"/>
    <w:link w:val="Ttulo2Car"/>
    <w:autoRedefine/>
    <w:uiPriority w:val="9"/>
    <w:unhideWhenUsed/>
    <w:qFormat/>
    <w:rsid w:val="006674CD"/>
    <w:pPr>
      <w:keepLines/>
      <w:spacing w:before="200"/>
      <w:outlineLvl w:val="1"/>
    </w:pPr>
    <w:rPr>
      <w:rFonts w:eastAsiaTheme="majorEastAsia" w:cstheme="majorBidi"/>
      <w:b w:val="0"/>
      <w:bCs w:val="0"/>
      <w:color w:val="595959" w:themeColor="text1" w:themeTint="A6"/>
      <w:sz w:val="24"/>
    </w:rPr>
  </w:style>
  <w:style w:type="paragraph" w:styleId="Ttulo3">
    <w:name w:val="heading 3"/>
    <w:basedOn w:val="Normal"/>
    <w:next w:val="Normal"/>
    <w:link w:val="Ttulo3Car"/>
    <w:uiPriority w:val="9"/>
    <w:unhideWhenUsed/>
    <w:qFormat/>
    <w:rsid w:val="006D5168"/>
    <w:pPr>
      <w:keepNext/>
      <w:keepLines/>
      <w:numPr>
        <w:numId w:val="1"/>
      </w:numPr>
      <w:spacing w:before="200" w:line="360" w:lineRule="auto"/>
      <w:outlineLvl w:val="2"/>
    </w:pPr>
    <w:rPr>
      <w:rFonts w:ascii="Montserrat" w:eastAsia="Malgun Gothic Semilight" w:hAnsi="Montserrat" w:cs="Malgun Gothic Semilight"/>
      <w:b/>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4F9"/>
    <w:rPr>
      <w:rFonts w:ascii="Montserrat" w:eastAsia="Times New Roman" w:hAnsi="Montserrat" w:cs="Arial"/>
      <w:b/>
      <w:bCs/>
      <w:sz w:val="28"/>
      <w:szCs w:val="22"/>
      <w:lang w:val="es-ES" w:eastAsia="ar-SA"/>
    </w:rPr>
  </w:style>
  <w:style w:type="paragraph" w:styleId="Encabezado">
    <w:name w:val="header"/>
    <w:basedOn w:val="Normal"/>
    <w:link w:val="EncabezadoCar"/>
    <w:uiPriority w:val="99"/>
    <w:unhideWhenUsed/>
    <w:rsid w:val="00DA1912"/>
    <w:pPr>
      <w:tabs>
        <w:tab w:val="center" w:pos="4252"/>
        <w:tab w:val="right" w:pos="8504"/>
      </w:tabs>
    </w:pPr>
  </w:style>
  <w:style w:type="character" w:customStyle="1" w:styleId="EncabezadoCar">
    <w:name w:val="Encabezado Car"/>
    <w:basedOn w:val="Fuentedeprrafopredeter"/>
    <w:link w:val="Encabezado"/>
    <w:uiPriority w:val="99"/>
    <w:rsid w:val="00DA1912"/>
  </w:style>
  <w:style w:type="paragraph" w:styleId="Piedepgina">
    <w:name w:val="footer"/>
    <w:basedOn w:val="Normal"/>
    <w:link w:val="PiedepginaCar"/>
    <w:uiPriority w:val="99"/>
    <w:unhideWhenUsed/>
    <w:rsid w:val="00DA1912"/>
    <w:pPr>
      <w:tabs>
        <w:tab w:val="center" w:pos="4252"/>
        <w:tab w:val="right" w:pos="8504"/>
      </w:tabs>
    </w:pPr>
  </w:style>
  <w:style w:type="character" w:customStyle="1" w:styleId="PiedepginaCar">
    <w:name w:val="Pie de página Car"/>
    <w:basedOn w:val="Fuentedeprrafopredeter"/>
    <w:link w:val="Piedepgina"/>
    <w:uiPriority w:val="99"/>
    <w:rsid w:val="00DA1912"/>
  </w:style>
  <w:style w:type="paragraph" w:styleId="Textodeglobo">
    <w:name w:val="Balloon Text"/>
    <w:basedOn w:val="Normal"/>
    <w:link w:val="TextodegloboCar"/>
    <w:uiPriority w:val="99"/>
    <w:semiHidden/>
    <w:unhideWhenUsed/>
    <w:rsid w:val="00DA191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1912"/>
    <w:rPr>
      <w:rFonts w:ascii="Lucida Grande" w:hAnsi="Lucida Grande" w:cs="Lucida Grande"/>
      <w:sz w:val="18"/>
      <w:szCs w:val="18"/>
    </w:rPr>
  </w:style>
  <w:style w:type="character" w:styleId="Hipervnculo">
    <w:name w:val="Hyperlink"/>
    <w:basedOn w:val="Fuentedeprrafopredeter"/>
    <w:uiPriority w:val="99"/>
    <w:unhideWhenUsed/>
    <w:rsid w:val="00DA1912"/>
    <w:rPr>
      <w:color w:val="0000FF" w:themeColor="hyperlink"/>
      <w:u w:val="single"/>
    </w:rPr>
  </w:style>
  <w:style w:type="paragraph" w:styleId="Prrafodelista">
    <w:name w:val="List Paragraph"/>
    <w:basedOn w:val="Normal"/>
    <w:uiPriority w:val="34"/>
    <w:qFormat/>
    <w:rsid w:val="00F04BAE"/>
    <w:pPr>
      <w:ind w:left="720"/>
      <w:contextualSpacing/>
    </w:pPr>
  </w:style>
  <w:style w:type="character" w:customStyle="1" w:styleId="estilo111">
    <w:name w:val="estilo111"/>
    <w:rsid w:val="00756C4A"/>
    <w:rPr>
      <w:color w:val="333333"/>
    </w:rPr>
  </w:style>
  <w:style w:type="paragraph" w:styleId="NormalWeb">
    <w:name w:val="Normal (Web)"/>
    <w:basedOn w:val="Normal"/>
    <w:uiPriority w:val="99"/>
    <w:unhideWhenUsed/>
    <w:rsid w:val="00F828BC"/>
    <w:pPr>
      <w:spacing w:before="100" w:beforeAutospacing="1" w:after="100" w:afterAutospacing="1"/>
    </w:pPr>
    <w:rPr>
      <w:rFonts w:ascii="Times" w:hAnsi="Times" w:cs="Times New Roman"/>
      <w:sz w:val="20"/>
      <w:szCs w:val="20"/>
    </w:rPr>
  </w:style>
  <w:style w:type="paragraph" w:customStyle="1" w:styleId="Default">
    <w:name w:val="Default"/>
    <w:rsid w:val="00570E04"/>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B2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B70F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unhideWhenUsed/>
    <w:rsid w:val="00FA7FC0"/>
    <w:rPr>
      <w:rFonts w:ascii="Times New Roman" w:hAnsi="Times New Roman"/>
      <w:sz w:val="20"/>
    </w:rPr>
  </w:style>
  <w:style w:type="character" w:customStyle="1" w:styleId="TextonotapieCar">
    <w:name w:val="Texto nota pie Car"/>
    <w:basedOn w:val="Fuentedeprrafopredeter"/>
    <w:link w:val="Textonotapie"/>
    <w:uiPriority w:val="99"/>
    <w:rsid w:val="00FA7FC0"/>
    <w:rPr>
      <w:rFonts w:ascii="Times New Roman" w:hAnsi="Times New Roman"/>
      <w:sz w:val="20"/>
    </w:rPr>
  </w:style>
  <w:style w:type="character" w:styleId="Refdenotaalpie">
    <w:name w:val="footnote reference"/>
    <w:basedOn w:val="Fuentedeprrafopredeter"/>
    <w:uiPriority w:val="99"/>
    <w:unhideWhenUsed/>
    <w:rsid w:val="00FA7FC0"/>
    <w:rPr>
      <w:vertAlign w:val="superscript"/>
    </w:rPr>
  </w:style>
  <w:style w:type="paragraph" w:styleId="TtuloTDC">
    <w:name w:val="TOC Heading"/>
    <w:basedOn w:val="Ttulo1"/>
    <w:next w:val="Normal"/>
    <w:uiPriority w:val="39"/>
    <w:unhideWhenUsed/>
    <w:qFormat/>
    <w:rsid w:val="00834C7E"/>
    <w:pPr>
      <w:keepLines/>
      <w:suppressAutoHyphens w:val="0"/>
      <w:spacing w:before="480" w:line="276" w:lineRule="auto"/>
      <w:outlineLvl w:val="9"/>
    </w:pPr>
    <w:rPr>
      <w:rFonts w:asciiTheme="majorHAnsi" w:eastAsiaTheme="majorEastAsia" w:hAnsiTheme="majorHAnsi" w:cstheme="majorBidi"/>
      <w:color w:val="365F91" w:themeColor="accent1" w:themeShade="BF"/>
      <w:szCs w:val="28"/>
      <w:lang w:val="es-ES_tradnl" w:eastAsia="es-ES"/>
    </w:rPr>
  </w:style>
  <w:style w:type="paragraph" w:styleId="TDC1">
    <w:name w:val="toc 1"/>
    <w:basedOn w:val="Normal"/>
    <w:next w:val="Normal"/>
    <w:autoRedefine/>
    <w:uiPriority w:val="39"/>
    <w:unhideWhenUsed/>
    <w:rsid w:val="00834C7E"/>
    <w:pPr>
      <w:spacing w:before="120"/>
    </w:pPr>
    <w:rPr>
      <w:b/>
    </w:rPr>
  </w:style>
  <w:style w:type="paragraph" w:styleId="TDC2">
    <w:name w:val="toc 2"/>
    <w:basedOn w:val="Normal"/>
    <w:next w:val="Normal"/>
    <w:autoRedefine/>
    <w:uiPriority w:val="39"/>
    <w:unhideWhenUsed/>
    <w:rsid w:val="00834C7E"/>
    <w:pPr>
      <w:ind w:left="240"/>
    </w:pPr>
    <w:rPr>
      <w:b/>
    </w:rPr>
  </w:style>
  <w:style w:type="paragraph" w:styleId="TDC3">
    <w:name w:val="toc 3"/>
    <w:basedOn w:val="Normal"/>
    <w:next w:val="Normal"/>
    <w:autoRedefine/>
    <w:uiPriority w:val="39"/>
    <w:unhideWhenUsed/>
    <w:rsid w:val="00B714DF"/>
    <w:pPr>
      <w:tabs>
        <w:tab w:val="left" w:pos="940"/>
        <w:tab w:val="right" w:leader="dot" w:pos="7353"/>
      </w:tabs>
      <w:ind w:left="480"/>
    </w:pPr>
    <w:rPr>
      <w:noProof/>
      <w:sz w:val="20"/>
      <w:szCs w:val="20"/>
    </w:rPr>
  </w:style>
  <w:style w:type="paragraph" w:styleId="TDC4">
    <w:name w:val="toc 4"/>
    <w:basedOn w:val="Normal"/>
    <w:next w:val="Normal"/>
    <w:autoRedefine/>
    <w:uiPriority w:val="39"/>
    <w:semiHidden/>
    <w:unhideWhenUsed/>
    <w:rsid w:val="00834C7E"/>
    <w:pPr>
      <w:ind w:left="720"/>
    </w:pPr>
    <w:rPr>
      <w:sz w:val="20"/>
      <w:szCs w:val="20"/>
    </w:rPr>
  </w:style>
  <w:style w:type="paragraph" w:styleId="TDC5">
    <w:name w:val="toc 5"/>
    <w:basedOn w:val="Normal"/>
    <w:next w:val="Normal"/>
    <w:autoRedefine/>
    <w:uiPriority w:val="39"/>
    <w:semiHidden/>
    <w:unhideWhenUsed/>
    <w:rsid w:val="00834C7E"/>
    <w:pPr>
      <w:ind w:left="960"/>
    </w:pPr>
    <w:rPr>
      <w:sz w:val="20"/>
      <w:szCs w:val="20"/>
    </w:rPr>
  </w:style>
  <w:style w:type="paragraph" w:styleId="TDC6">
    <w:name w:val="toc 6"/>
    <w:basedOn w:val="Normal"/>
    <w:next w:val="Normal"/>
    <w:autoRedefine/>
    <w:uiPriority w:val="39"/>
    <w:semiHidden/>
    <w:unhideWhenUsed/>
    <w:rsid w:val="00834C7E"/>
    <w:pPr>
      <w:ind w:left="1200"/>
    </w:pPr>
    <w:rPr>
      <w:sz w:val="20"/>
      <w:szCs w:val="20"/>
    </w:rPr>
  </w:style>
  <w:style w:type="paragraph" w:styleId="TDC7">
    <w:name w:val="toc 7"/>
    <w:basedOn w:val="Normal"/>
    <w:next w:val="Normal"/>
    <w:autoRedefine/>
    <w:uiPriority w:val="39"/>
    <w:semiHidden/>
    <w:unhideWhenUsed/>
    <w:rsid w:val="00834C7E"/>
    <w:pPr>
      <w:ind w:left="1440"/>
    </w:pPr>
    <w:rPr>
      <w:sz w:val="20"/>
      <w:szCs w:val="20"/>
    </w:rPr>
  </w:style>
  <w:style w:type="paragraph" w:styleId="TDC8">
    <w:name w:val="toc 8"/>
    <w:basedOn w:val="Normal"/>
    <w:next w:val="Normal"/>
    <w:autoRedefine/>
    <w:uiPriority w:val="39"/>
    <w:semiHidden/>
    <w:unhideWhenUsed/>
    <w:rsid w:val="00834C7E"/>
    <w:pPr>
      <w:ind w:left="1680"/>
    </w:pPr>
    <w:rPr>
      <w:sz w:val="20"/>
      <w:szCs w:val="20"/>
    </w:rPr>
  </w:style>
  <w:style w:type="paragraph" w:styleId="TDC9">
    <w:name w:val="toc 9"/>
    <w:basedOn w:val="Normal"/>
    <w:next w:val="Normal"/>
    <w:autoRedefine/>
    <w:uiPriority w:val="39"/>
    <w:semiHidden/>
    <w:unhideWhenUsed/>
    <w:rsid w:val="00834C7E"/>
    <w:pPr>
      <w:ind w:left="1920"/>
    </w:pPr>
    <w:rPr>
      <w:sz w:val="20"/>
      <w:szCs w:val="20"/>
    </w:rPr>
  </w:style>
  <w:style w:type="character" w:customStyle="1" w:styleId="Ttulo2Car">
    <w:name w:val="Título 2 Car"/>
    <w:basedOn w:val="Fuentedeprrafopredeter"/>
    <w:link w:val="Ttulo2"/>
    <w:uiPriority w:val="9"/>
    <w:rsid w:val="006674CD"/>
    <w:rPr>
      <w:rFonts w:ascii="Montserrat" w:eastAsiaTheme="majorEastAsia" w:hAnsi="Montserrat" w:cstheme="majorBidi"/>
      <w:color w:val="595959" w:themeColor="text1" w:themeTint="A6"/>
      <w:lang w:val="es-ES" w:eastAsia="ar-SA"/>
    </w:rPr>
  </w:style>
  <w:style w:type="character" w:customStyle="1" w:styleId="Ttulo3Car">
    <w:name w:val="Título 3 Car"/>
    <w:basedOn w:val="Fuentedeprrafopredeter"/>
    <w:link w:val="Ttulo3"/>
    <w:uiPriority w:val="9"/>
    <w:rsid w:val="006D5168"/>
    <w:rPr>
      <w:rFonts w:ascii="Montserrat" w:eastAsia="Malgun Gothic Semilight" w:hAnsi="Montserrat" w:cs="Malgun Gothic Semilight"/>
      <w:b/>
      <w:color w:val="595959" w:themeColor="text1" w:themeTint="A6"/>
      <w:sz w:val="22"/>
      <w:szCs w:val="22"/>
      <w:lang w:val="es-ES" w:eastAsia="en-US"/>
    </w:rPr>
  </w:style>
  <w:style w:type="character" w:customStyle="1" w:styleId="bloquetexto">
    <w:name w:val="bloquetexto"/>
    <w:basedOn w:val="Fuentedeprrafopredeter"/>
    <w:rsid w:val="001B6BFD"/>
  </w:style>
  <w:style w:type="character" w:customStyle="1" w:styleId="Mencinsinresolver1">
    <w:name w:val="Mención sin resolver1"/>
    <w:basedOn w:val="Fuentedeprrafopredeter"/>
    <w:uiPriority w:val="99"/>
    <w:semiHidden/>
    <w:unhideWhenUsed/>
    <w:rsid w:val="00A8324D"/>
    <w:rPr>
      <w:color w:val="808080"/>
      <w:shd w:val="clear" w:color="auto" w:fill="E6E6E6"/>
    </w:rPr>
  </w:style>
  <w:style w:type="character" w:customStyle="1" w:styleId="Mencinsinresolver2">
    <w:name w:val="Mención sin resolver2"/>
    <w:basedOn w:val="Fuentedeprrafopredeter"/>
    <w:uiPriority w:val="99"/>
    <w:semiHidden/>
    <w:unhideWhenUsed/>
    <w:rsid w:val="00285FC2"/>
    <w:rPr>
      <w:color w:val="808080"/>
      <w:shd w:val="clear" w:color="auto" w:fill="E6E6E6"/>
    </w:rPr>
  </w:style>
  <w:style w:type="character" w:styleId="Hipervnculovisitado">
    <w:name w:val="FollowedHyperlink"/>
    <w:basedOn w:val="Fuentedeprrafopredeter"/>
    <w:uiPriority w:val="99"/>
    <w:semiHidden/>
    <w:unhideWhenUsed/>
    <w:rsid w:val="00087699"/>
    <w:rPr>
      <w:color w:val="800080" w:themeColor="followedHyperlink"/>
      <w:u w:val="single"/>
    </w:rPr>
  </w:style>
  <w:style w:type="character" w:styleId="Mencinsinresolver">
    <w:name w:val="Unresolved Mention"/>
    <w:basedOn w:val="Fuentedeprrafopredeter"/>
    <w:uiPriority w:val="99"/>
    <w:semiHidden/>
    <w:unhideWhenUsed/>
    <w:rsid w:val="0058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546">
      <w:bodyDiv w:val="1"/>
      <w:marLeft w:val="0"/>
      <w:marRight w:val="0"/>
      <w:marTop w:val="0"/>
      <w:marBottom w:val="0"/>
      <w:divBdr>
        <w:top w:val="none" w:sz="0" w:space="0" w:color="auto"/>
        <w:left w:val="none" w:sz="0" w:space="0" w:color="auto"/>
        <w:bottom w:val="none" w:sz="0" w:space="0" w:color="auto"/>
        <w:right w:val="none" w:sz="0" w:space="0" w:color="auto"/>
      </w:divBdr>
    </w:div>
    <w:div w:id="68622098">
      <w:bodyDiv w:val="1"/>
      <w:marLeft w:val="0"/>
      <w:marRight w:val="0"/>
      <w:marTop w:val="0"/>
      <w:marBottom w:val="0"/>
      <w:divBdr>
        <w:top w:val="none" w:sz="0" w:space="0" w:color="auto"/>
        <w:left w:val="none" w:sz="0" w:space="0" w:color="auto"/>
        <w:bottom w:val="none" w:sz="0" w:space="0" w:color="auto"/>
        <w:right w:val="none" w:sz="0" w:space="0" w:color="auto"/>
      </w:divBdr>
    </w:div>
    <w:div w:id="83961124">
      <w:bodyDiv w:val="1"/>
      <w:marLeft w:val="0"/>
      <w:marRight w:val="0"/>
      <w:marTop w:val="0"/>
      <w:marBottom w:val="0"/>
      <w:divBdr>
        <w:top w:val="none" w:sz="0" w:space="0" w:color="auto"/>
        <w:left w:val="none" w:sz="0" w:space="0" w:color="auto"/>
        <w:bottom w:val="none" w:sz="0" w:space="0" w:color="auto"/>
        <w:right w:val="none" w:sz="0" w:space="0" w:color="auto"/>
      </w:divBdr>
      <w:divsChild>
        <w:div w:id="307247402">
          <w:marLeft w:val="446"/>
          <w:marRight w:val="0"/>
          <w:marTop w:val="67"/>
          <w:marBottom w:val="0"/>
          <w:divBdr>
            <w:top w:val="none" w:sz="0" w:space="0" w:color="auto"/>
            <w:left w:val="none" w:sz="0" w:space="0" w:color="auto"/>
            <w:bottom w:val="none" w:sz="0" w:space="0" w:color="auto"/>
            <w:right w:val="none" w:sz="0" w:space="0" w:color="auto"/>
          </w:divBdr>
        </w:div>
        <w:div w:id="1359089972">
          <w:marLeft w:val="446"/>
          <w:marRight w:val="0"/>
          <w:marTop w:val="67"/>
          <w:marBottom w:val="0"/>
          <w:divBdr>
            <w:top w:val="none" w:sz="0" w:space="0" w:color="auto"/>
            <w:left w:val="none" w:sz="0" w:space="0" w:color="auto"/>
            <w:bottom w:val="none" w:sz="0" w:space="0" w:color="auto"/>
            <w:right w:val="none" w:sz="0" w:space="0" w:color="auto"/>
          </w:divBdr>
        </w:div>
      </w:divsChild>
    </w:div>
    <w:div w:id="116608059">
      <w:bodyDiv w:val="1"/>
      <w:marLeft w:val="0"/>
      <w:marRight w:val="0"/>
      <w:marTop w:val="0"/>
      <w:marBottom w:val="0"/>
      <w:divBdr>
        <w:top w:val="none" w:sz="0" w:space="0" w:color="auto"/>
        <w:left w:val="none" w:sz="0" w:space="0" w:color="auto"/>
        <w:bottom w:val="none" w:sz="0" w:space="0" w:color="auto"/>
        <w:right w:val="none" w:sz="0" w:space="0" w:color="auto"/>
      </w:divBdr>
    </w:div>
    <w:div w:id="193931573">
      <w:bodyDiv w:val="1"/>
      <w:marLeft w:val="0"/>
      <w:marRight w:val="0"/>
      <w:marTop w:val="0"/>
      <w:marBottom w:val="0"/>
      <w:divBdr>
        <w:top w:val="none" w:sz="0" w:space="0" w:color="auto"/>
        <w:left w:val="none" w:sz="0" w:space="0" w:color="auto"/>
        <w:bottom w:val="none" w:sz="0" w:space="0" w:color="auto"/>
        <w:right w:val="none" w:sz="0" w:space="0" w:color="auto"/>
      </w:divBdr>
    </w:div>
    <w:div w:id="366418027">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86533014">
      <w:bodyDiv w:val="1"/>
      <w:marLeft w:val="0"/>
      <w:marRight w:val="0"/>
      <w:marTop w:val="0"/>
      <w:marBottom w:val="0"/>
      <w:divBdr>
        <w:top w:val="none" w:sz="0" w:space="0" w:color="auto"/>
        <w:left w:val="none" w:sz="0" w:space="0" w:color="auto"/>
        <w:bottom w:val="none" w:sz="0" w:space="0" w:color="auto"/>
        <w:right w:val="none" w:sz="0" w:space="0" w:color="auto"/>
      </w:divBdr>
    </w:div>
    <w:div w:id="553395192">
      <w:bodyDiv w:val="1"/>
      <w:marLeft w:val="0"/>
      <w:marRight w:val="0"/>
      <w:marTop w:val="0"/>
      <w:marBottom w:val="0"/>
      <w:divBdr>
        <w:top w:val="none" w:sz="0" w:space="0" w:color="auto"/>
        <w:left w:val="none" w:sz="0" w:space="0" w:color="auto"/>
        <w:bottom w:val="none" w:sz="0" w:space="0" w:color="auto"/>
        <w:right w:val="none" w:sz="0" w:space="0" w:color="auto"/>
      </w:divBdr>
    </w:div>
    <w:div w:id="565991088">
      <w:bodyDiv w:val="1"/>
      <w:marLeft w:val="0"/>
      <w:marRight w:val="0"/>
      <w:marTop w:val="0"/>
      <w:marBottom w:val="0"/>
      <w:divBdr>
        <w:top w:val="none" w:sz="0" w:space="0" w:color="auto"/>
        <w:left w:val="none" w:sz="0" w:space="0" w:color="auto"/>
        <w:bottom w:val="none" w:sz="0" w:space="0" w:color="auto"/>
        <w:right w:val="none" w:sz="0" w:space="0" w:color="auto"/>
      </w:divBdr>
    </w:div>
    <w:div w:id="652955800">
      <w:bodyDiv w:val="1"/>
      <w:marLeft w:val="0"/>
      <w:marRight w:val="0"/>
      <w:marTop w:val="0"/>
      <w:marBottom w:val="0"/>
      <w:divBdr>
        <w:top w:val="none" w:sz="0" w:space="0" w:color="auto"/>
        <w:left w:val="none" w:sz="0" w:space="0" w:color="auto"/>
        <w:bottom w:val="none" w:sz="0" w:space="0" w:color="auto"/>
        <w:right w:val="none" w:sz="0" w:space="0" w:color="auto"/>
      </w:divBdr>
    </w:div>
    <w:div w:id="745491363">
      <w:bodyDiv w:val="1"/>
      <w:marLeft w:val="0"/>
      <w:marRight w:val="0"/>
      <w:marTop w:val="0"/>
      <w:marBottom w:val="0"/>
      <w:divBdr>
        <w:top w:val="none" w:sz="0" w:space="0" w:color="auto"/>
        <w:left w:val="none" w:sz="0" w:space="0" w:color="auto"/>
        <w:bottom w:val="none" w:sz="0" w:space="0" w:color="auto"/>
        <w:right w:val="none" w:sz="0" w:space="0" w:color="auto"/>
      </w:divBdr>
    </w:div>
    <w:div w:id="777604502">
      <w:bodyDiv w:val="1"/>
      <w:marLeft w:val="0"/>
      <w:marRight w:val="0"/>
      <w:marTop w:val="0"/>
      <w:marBottom w:val="0"/>
      <w:divBdr>
        <w:top w:val="none" w:sz="0" w:space="0" w:color="auto"/>
        <w:left w:val="none" w:sz="0" w:space="0" w:color="auto"/>
        <w:bottom w:val="none" w:sz="0" w:space="0" w:color="auto"/>
        <w:right w:val="none" w:sz="0" w:space="0" w:color="auto"/>
      </w:divBdr>
    </w:div>
    <w:div w:id="788206953">
      <w:bodyDiv w:val="1"/>
      <w:marLeft w:val="0"/>
      <w:marRight w:val="0"/>
      <w:marTop w:val="0"/>
      <w:marBottom w:val="0"/>
      <w:divBdr>
        <w:top w:val="none" w:sz="0" w:space="0" w:color="auto"/>
        <w:left w:val="none" w:sz="0" w:space="0" w:color="auto"/>
        <w:bottom w:val="none" w:sz="0" w:space="0" w:color="auto"/>
        <w:right w:val="none" w:sz="0" w:space="0" w:color="auto"/>
      </w:divBdr>
    </w:div>
    <w:div w:id="849179282">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sChild>
        <w:div w:id="1859075668">
          <w:marLeft w:val="288"/>
          <w:marRight w:val="0"/>
          <w:marTop w:val="115"/>
          <w:marBottom w:val="0"/>
          <w:divBdr>
            <w:top w:val="none" w:sz="0" w:space="0" w:color="auto"/>
            <w:left w:val="none" w:sz="0" w:space="0" w:color="auto"/>
            <w:bottom w:val="none" w:sz="0" w:space="0" w:color="auto"/>
            <w:right w:val="none" w:sz="0" w:space="0" w:color="auto"/>
          </w:divBdr>
        </w:div>
      </w:divsChild>
    </w:div>
    <w:div w:id="1040326610">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84458192">
      <w:bodyDiv w:val="1"/>
      <w:marLeft w:val="0"/>
      <w:marRight w:val="0"/>
      <w:marTop w:val="0"/>
      <w:marBottom w:val="0"/>
      <w:divBdr>
        <w:top w:val="none" w:sz="0" w:space="0" w:color="auto"/>
        <w:left w:val="none" w:sz="0" w:space="0" w:color="auto"/>
        <w:bottom w:val="none" w:sz="0" w:space="0" w:color="auto"/>
        <w:right w:val="none" w:sz="0" w:space="0" w:color="auto"/>
      </w:divBdr>
    </w:div>
    <w:div w:id="1375807080">
      <w:bodyDiv w:val="1"/>
      <w:marLeft w:val="0"/>
      <w:marRight w:val="0"/>
      <w:marTop w:val="0"/>
      <w:marBottom w:val="0"/>
      <w:divBdr>
        <w:top w:val="none" w:sz="0" w:space="0" w:color="auto"/>
        <w:left w:val="none" w:sz="0" w:space="0" w:color="auto"/>
        <w:bottom w:val="none" w:sz="0" w:space="0" w:color="auto"/>
        <w:right w:val="none" w:sz="0" w:space="0" w:color="auto"/>
      </w:divBdr>
    </w:div>
    <w:div w:id="1516068279">
      <w:bodyDiv w:val="1"/>
      <w:marLeft w:val="0"/>
      <w:marRight w:val="0"/>
      <w:marTop w:val="0"/>
      <w:marBottom w:val="0"/>
      <w:divBdr>
        <w:top w:val="none" w:sz="0" w:space="0" w:color="auto"/>
        <w:left w:val="none" w:sz="0" w:space="0" w:color="auto"/>
        <w:bottom w:val="none" w:sz="0" w:space="0" w:color="auto"/>
        <w:right w:val="none" w:sz="0" w:space="0" w:color="auto"/>
      </w:divBdr>
    </w:div>
    <w:div w:id="1697270369">
      <w:bodyDiv w:val="1"/>
      <w:marLeft w:val="0"/>
      <w:marRight w:val="0"/>
      <w:marTop w:val="0"/>
      <w:marBottom w:val="0"/>
      <w:divBdr>
        <w:top w:val="none" w:sz="0" w:space="0" w:color="auto"/>
        <w:left w:val="none" w:sz="0" w:space="0" w:color="auto"/>
        <w:bottom w:val="none" w:sz="0" w:space="0" w:color="auto"/>
        <w:right w:val="none" w:sz="0" w:space="0" w:color="auto"/>
      </w:divBdr>
    </w:div>
    <w:div w:id="1715542876">
      <w:bodyDiv w:val="1"/>
      <w:marLeft w:val="0"/>
      <w:marRight w:val="0"/>
      <w:marTop w:val="0"/>
      <w:marBottom w:val="0"/>
      <w:divBdr>
        <w:top w:val="none" w:sz="0" w:space="0" w:color="auto"/>
        <w:left w:val="none" w:sz="0" w:space="0" w:color="auto"/>
        <w:bottom w:val="none" w:sz="0" w:space="0" w:color="auto"/>
        <w:right w:val="none" w:sz="0" w:space="0" w:color="auto"/>
      </w:divBdr>
    </w:div>
    <w:div w:id="1838767030">
      <w:bodyDiv w:val="1"/>
      <w:marLeft w:val="0"/>
      <w:marRight w:val="0"/>
      <w:marTop w:val="0"/>
      <w:marBottom w:val="0"/>
      <w:divBdr>
        <w:top w:val="none" w:sz="0" w:space="0" w:color="auto"/>
        <w:left w:val="none" w:sz="0" w:space="0" w:color="auto"/>
        <w:bottom w:val="none" w:sz="0" w:space="0" w:color="auto"/>
        <w:right w:val="none" w:sz="0" w:space="0" w:color="auto"/>
      </w:divBdr>
    </w:div>
    <w:div w:id="1888831605">
      <w:bodyDiv w:val="1"/>
      <w:marLeft w:val="0"/>
      <w:marRight w:val="0"/>
      <w:marTop w:val="0"/>
      <w:marBottom w:val="0"/>
      <w:divBdr>
        <w:top w:val="none" w:sz="0" w:space="0" w:color="auto"/>
        <w:left w:val="none" w:sz="0" w:space="0" w:color="auto"/>
        <w:bottom w:val="none" w:sz="0" w:space="0" w:color="auto"/>
        <w:right w:val="none" w:sz="0" w:space="0" w:color="auto"/>
      </w:divBdr>
    </w:div>
    <w:div w:id="2026832352">
      <w:bodyDiv w:val="1"/>
      <w:marLeft w:val="0"/>
      <w:marRight w:val="0"/>
      <w:marTop w:val="0"/>
      <w:marBottom w:val="0"/>
      <w:divBdr>
        <w:top w:val="none" w:sz="0" w:space="0" w:color="auto"/>
        <w:left w:val="none" w:sz="0" w:space="0" w:color="auto"/>
        <w:bottom w:val="none" w:sz="0" w:space="0" w:color="auto"/>
        <w:right w:val="none" w:sz="0" w:space="0" w:color="auto"/>
      </w:divBdr>
    </w:div>
    <w:div w:id="2040664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zasparatodos.es/asufin-y-afundacion-obra-social-abanca-premios-finanzas-para-todos-del-plan-de-educacion-financiera-20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pi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zas.roams.es/entidades-financieras/ing/cashbac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ZSZ/Library/Group%20Containers/UBF8T346G9.Office/User%20Content.localized/Templates.localized/2020_plantilla_asuf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8e6c91-b3ee-4749-8451-74b24afc57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7D724C1F7DB0B4E8ED435F4EED4B69E" ma:contentTypeVersion="11" ma:contentTypeDescription="Crear nuevo documento." ma:contentTypeScope="" ma:versionID="7fd6c9f657b287e2b85846ca86e255c5">
  <xsd:schema xmlns:xsd="http://www.w3.org/2001/XMLSchema" xmlns:xs="http://www.w3.org/2001/XMLSchema" xmlns:p="http://schemas.microsoft.com/office/2006/metadata/properties" xmlns:ns2="e98e6c91-b3ee-4749-8451-74b24afc5783" xmlns:ns3="237ea041-2906-46a2-a712-edfb7c33eee7" targetNamespace="http://schemas.microsoft.com/office/2006/metadata/properties" ma:root="true" ma:fieldsID="c67e4892b3f67542fa0a978e64d149cb" ns2:_="" ns3:_="">
    <xsd:import namespace="e98e6c91-b3ee-4749-8451-74b24afc5783"/>
    <xsd:import namespace="237ea041-2906-46a2-a712-edfb7c33e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6c91-b3ee-4749-8451-74b24afc5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d911eeec-d367-4d34-825a-95399791ef0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ea041-2906-46a2-a712-edfb7c33eee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4E1AE-2391-45FD-A2CE-466839309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7E595-F21D-43D9-8C40-B2AA860DB96C}">
  <ds:schemaRefs>
    <ds:schemaRef ds:uri="http://schemas.microsoft.com/sharepoint/v3/contenttype/forms"/>
  </ds:schemaRefs>
</ds:datastoreItem>
</file>

<file path=customXml/itemProps3.xml><?xml version="1.0" encoding="utf-8"?>
<ds:datastoreItem xmlns:ds="http://schemas.openxmlformats.org/officeDocument/2006/customXml" ds:itemID="{E538DE1D-49EC-E849-B59D-2FED8B3C92B5}">
  <ds:schemaRefs>
    <ds:schemaRef ds:uri="http://schemas.openxmlformats.org/officeDocument/2006/bibliography"/>
  </ds:schemaRefs>
</ds:datastoreItem>
</file>

<file path=customXml/itemProps4.xml><?xml version="1.0" encoding="utf-8"?>
<ds:datastoreItem xmlns:ds="http://schemas.openxmlformats.org/officeDocument/2006/customXml" ds:itemID="{32D6F255-6B64-4B50-812A-E44A134463EA}"/>
</file>

<file path=docProps/app.xml><?xml version="1.0" encoding="utf-8"?>
<Properties xmlns="http://schemas.openxmlformats.org/officeDocument/2006/extended-properties" xmlns:vt="http://schemas.openxmlformats.org/officeDocument/2006/docPropsVTypes">
  <Template>2020_plantilla_asufin.dotx</Template>
  <TotalTime>26</TotalTime>
  <Pages>3</Pages>
  <Words>1170</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GZSZ</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Veronica Rodriguez Dominguez</cp:lastModifiedBy>
  <cp:revision>36</cp:revision>
  <cp:lastPrinted>2018-06-16T13:38:00Z</cp:lastPrinted>
  <dcterms:created xsi:type="dcterms:W3CDTF">2022-04-30T17:10:00Z</dcterms:created>
  <dcterms:modified xsi:type="dcterms:W3CDTF">2022-11-20T16:14:00Z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0x01010007D724C1F7DB0B4E8ED435F4EED4B69E</vt:lpwstr>
  </property>
  <property fmtid="{D5CDD505-2E9C-101B-9397-08002B2CF9AE}" pid="4" name="Order">
    <vt:r8>517000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