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0F5BA" w14:textId="1343C14D" w:rsidR="000179C1" w:rsidRPr="00C74934" w:rsidRDefault="000179C1" w:rsidP="000179C1">
      <w:pPr>
        <w:pStyle w:val="paragraph"/>
        <w:spacing w:before="0" w:beforeAutospacing="0" w:after="0" w:afterAutospacing="0"/>
        <w:jc w:val="both"/>
        <w:textAlignment w:val="baseline"/>
        <w:rPr>
          <w:rFonts w:ascii="Open Sans" w:eastAsia="Malgun Gothic Semilight" w:hAnsi="Open Sans" w:cs="Open Sans"/>
          <w:b/>
          <w:color w:val="CC006A"/>
          <w:kern w:val="36"/>
          <w:sz w:val="22"/>
          <w:szCs w:val="22"/>
          <w:lang w:val="es-ES_tradnl" w:eastAsia="en-US"/>
        </w:rPr>
      </w:pPr>
      <w:r w:rsidRPr="00C74934">
        <w:rPr>
          <w:rFonts w:ascii="Open Sans" w:eastAsia="Malgun Gothic Semilight" w:hAnsi="Open Sans" w:cs="Open Sans"/>
          <w:b/>
          <w:color w:val="CC006A"/>
          <w:kern w:val="36"/>
          <w:sz w:val="22"/>
          <w:szCs w:val="22"/>
          <w:lang w:val="es-ES_tradnl" w:eastAsia="en-US"/>
        </w:rPr>
        <w:t>Intervención de Patricia Suárez,</w:t>
      </w:r>
      <w:r w:rsidR="00C74934">
        <w:rPr>
          <w:rFonts w:ascii="Open Sans" w:eastAsia="Malgun Gothic Semilight" w:hAnsi="Open Sans" w:cs="Open Sans"/>
          <w:b/>
          <w:color w:val="CC006A"/>
          <w:kern w:val="36"/>
          <w:sz w:val="22"/>
          <w:szCs w:val="22"/>
          <w:lang w:val="es-ES_tradnl" w:eastAsia="en-US"/>
        </w:rPr>
        <w:t xml:space="preserve"> presidenta de ASUFIN,</w:t>
      </w:r>
      <w:r w:rsidRPr="00C74934">
        <w:rPr>
          <w:rFonts w:ascii="Open Sans" w:eastAsia="Malgun Gothic Semilight" w:hAnsi="Open Sans" w:cs="Open Sans"/>
          <w:b/>
          <w:color w:val="CC006A"/>
          <w:kern w:val="36"/>
          <w:sz w:val="22"/>
          <w:szCs w:val="22"/>
          <w:lang w:val="es-ES_tradnl" w:eastAsia="en-US"/>
        </w:rPr>
        <w:t xml:space="preserve"> ante la Comisión de Consumo para trasladar las alegaciones de ASUFIN al proyecto de Estatuto de las Personas Consumidoras de Euskadi</w:t>
      </w:r>
      <w:r w:rsidR="00C74934">
        <w:rPr>
          <w:rFonts w:ascii="Open Sans" w:eastAsia="Malgun Gothic Semilight" w:hAnsi="Open Sans" w:cs="Open Sans"/>
          <w:b/>
          <w:color w:val="CC006A"/>
          <w:kern w:val="36"/>
          <w:sz w:val="22"/>
          <w:szCs w:val="22"/>
          <w:lang w:val="es-ES_tradnl" w:eastAsia="en-US"/>
        </w:rPr>
        <w:t xml:space="preserve">. </w:t>
      </w:r>
      <w:r w:rsidR="00A7003B">
        <w:rPr>
          <w:rFonts w:ascii="Open Sans" w:eastAsia="Malgun Gothic Semilight" w:hAnsi="Open Sans" w:cs="Open Sans"/>
          <w:b/>
          <w:color w:val="CC006A"/>
          <w:kern w:val="36"/>
          <w:sz w:val="22"/>
          <w:szCs w:val="22"/>
          <w:lang w:val="es-ES_tradnl" w:eastAsia="en-US"/>
        </w:rPr>
        <w:t>14-06-2022</w:t>
      </w:r>
      <w:r w:rsidRPr="00C74934">
        <w:rPr>
          <w:rFonts w:ascii="Open Sans" w:eastAsia="Malgun Gothic Semilight" w:hAnsi="Open Sans" w:cs="Open Sans"/>
          <w:b/>
          <w:color w:val="CC006A"/>
          <w:kern w:val="36"/>
          <w:sz w:val="22"/>
          <w:szCs w:val="22"/>
          <w:lang w:val="es-ES_tradnl" w:eastAsia="en-US"/>
        </w:rPr>
        <w:t xml:space="preserve"> </w:t>
      </w:r>
    </w:p>
    <w:p w14:paraId="0564AB46" w14:textId="77777777" w:rsidR="00C74934" w:rsidRPr="00C74934" w:rsidRDefault="00C74934" w:rsidP="000179C1">
      <w:pPr>
        <w:pStyle w:val="paragraph"/>
        <w:spacing w:before="0" w:beforeAutospacing="0" w:after="0" w:afterAutospacing="0"/>
        <w:jc w:val="both"/>
        <w:textAlignment w:val="baseline"/>
        <w:rPr>
          <w:rStyle w:val="normaltextrun"/>
          <w:rFonts w:ascii="Calibri" w:hAnsi="Calibri" w:cs="Calibri"/>
          <w:lang w:val="es-ES_tradnl"/>
        </w:rPr>
      </w:pPr>
    </w:p>
    <w:p w14:paraId="4AAEEE28"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[Saludo, agradecimientos]</w:t>
      </w:r>
    </w:p>
    <w:p w14:paraId="33F34455"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16913584"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Me han llamado la atención dos artículos que me merecen una opinión del todo favorable, si bien se podrían ampliar, bien con normativa sectorial o desarrollo reglamentario.</w:t>
      </w:r>
    </w:p>
    <w:p w14:paraId="5BBECB1D"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41830049" w14:textId="11F41BA4"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Por una parte, el artículo 33 sobre la no discriminación de precios en función del género. Les quiero anticipar que esto ya se está haciendo porque las mujeres tenemos una trayectoria de desarrollo laboral y percepción de ingresos menor a la de los hombres. Aquí nos encontramos con el problema de que esta evaluación de la solvencia de la mujer, claramente erosionada por lo anterior, con un histórico que le penaliza, impacta también </w:t>
      </w:r>
      <w:r w:rsidR="002F305F">
        <w:rPr>
          <w:rStyle w:val="normaltextrun"/>
          <w:rFonts w:ascii="Calibri" w:hAnsi="Calibri" w:cs="Calibri"/>
        </w:rPr>
        <w:t xml:space="preserve">en </w:t>
      </w:r>
      <w:r>
        <w:rPr>
          <w:rStyle w:val="normaltextrun"/>
          <w:rFonts w:ascii="Calibri" w:hAnsi="Calibri" w:cs="Calibri"/>
        </w:rPr>
        <w:t>el algoritmo que genera la inteligencia artificial: su uso, procesamiento</w:t>
      </w:r>
      <w:r w:rsidR="002F305F">
        <w:rPr>
          <w:rStyle w:val="normaltextrun"/>
          <w:rFonts w:ascii="Calibri" w:hAnsi="Calibri" w:cs="Calibri"/>
        </w:rPr>
        <w:t xml:space="preserve"> y</w:t>
      </w:r>
      <w:r>
        <w:rPr>
          <w:rStyle w:val="normaltextrun"/>
          <w:rFonts w:ascii="Calibri" w:hAnsi="Calibri" w:cs="Calibri"/>
        </w:rPr>
        <w:t xml:space="preserve"> diseño. Es un incumplimiento que ya se está haciendo efectivo.</w:t>
      </w:r>
    </w:p>
    <w:p w14:paraId="59AEC7CF"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2134417E"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Por otra parte, también he encontrado muy positivo que en el artículo 13.2, letra b, se hace una mención específica a las personas mayores, a la exclusión financiera y la brecha digital, en el ámbito rural y zonas urbanas. </w:t>
      </w:r>
    </w:p>
    <w:p w14:paraId="6CC14AD3"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4E606881" w14:textId="2644573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Dicho esto, quiero hacerles una reflexión concreta en torno al hecho de que una multa o sanción lleve consigo aparejado el resarcimiento económico al afectado. Cuando vemos publicadas las multas que han impuesto los distintos organismos, Banco de España, CNMV, entre otros, con las cláusulas suelo o preferentes, por ejemplo, cunde una cierta sensación de impotencia. Sí, se está castigando, sin ninguna duda, pero el consumidor tiene que ir con posterioridad a tribunales para que le resarzan del daño económico. Y ustedes me dirán que la sanción administrativa no tiene que ver con la vía civil, y que esto es muy complicado. No es tan complicado. En </w:t>
      </w:r>
      <w:r w:rsidR="00A03B01">
        <w:rPr>
          <w:rStyle w:val="normaltextrun"/>
          <w:rFonts w:ascii="Calibri" w:hAnsi="Calibri" w:cs="Calibri"/>
        </w:rPr>
        <w:t>Reino Unido</w:t>
      </w:r>
      <w:r>
        <w:rPr>
          <w:rStyle w:val="normaltextrun"/>
          <w:rFonts w:ascii="Calibri" w:hAnsi="Calibri" w:cs="Calibri"/>
        </w:rPr>
        <w:t>, la autoridad financiera que supervisa la conducta de las entidades financieras, cuando sanciona</w:t>
      </w:r>
      <w:r w:rsidR="007B5C0F">
        <w:rPr>
          <w:rStyle w:val="normaltextrun"/>
          <w:rFonts w:ascii="Calibri" w:hAnsi="Calibri" w:cs="Calibri"/>
        </w:rPr>
        <w:t>,</w:t>
      </w:r>
      <w:r>
        <w:rPr>
          <w:rStyle w:val="normaltextrun"/>
          <w:rFonts w:ascii="Calibri" w:hAnsi="Calibri" w:cs="Calibri"/>
        </w:rPr>
        <w:t xml:space="preserve"> obliga al resarcimiento inmediato. Los </w:t>
      </w:r>
      <w:r w:rsidR="000B5060">
        <w:rPr>
          <w:rStyle w:val="normaltextrun"/>
          <w:rFonts w:ascii="Calibri" w:hAnsi="Calibri" w:cs="Calibri"/>
        </w:rPr>
        <w:t>británicos</w:t>
      </w:r>
      <w:r>
        <w:rPr>
          <w:rStyle w:val="normaltextrun"/>
          <w:rFonts w:ascii="Calibri" w:hAnsi="Calibri" w:cs="Calibri"/>
        </w:rPr>
        <w:t xml:space="preserve"> no tienen que ir a tribunales y tenemos ejemplos al respecto. Con una determinada práctica de una entidad con presencia en ambos países, los consumidores españoles sí han tenido que ir a tribunales, con el coste en términos económicos y de tiempo que ello supone y los </w:t>
      </w:r>
      <w:r w:rsidR="00BB188C">
        <w:rPr>
          <w:rStyle w:val="normaltextrun"/>
          <w:rFonts w:ascii="Calibri" w:hAnsi="Calibri" w:cs="Calibri"/>
        </w:rPr>
        <w:t>británico</w:t>
      </w:r>
      <w:r>
        <w:rPr>
          <w:rStyle w:val="normaltextrun"/>
          <w:rFonts w:ascii="Calibri" w:hAnsi="Calibri" w:cs="Calibri"/>
        </w:rPr>
        <w:t>s no.</w:t>
      </w:r>
    </w:p>
    <w:p w14:paraId="6395ED69"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09C1B91A"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En este sentido, el artículo 144 establece que la multa debe ser disuasoria y que debe surtir un efecto muy claro en la empresa en el sentido de que no le debe salir más barato infringir la norma. Pues esto ya está sucediendo. Las multas que se están imponiendo en el entorno financiero no son disuasorias. Los consumidores siguen teniendo que ir a tribunales para reclamar el IRPH, los gastos de la hipoteca, entre otros muchos asuntos. A las entidades financieras les sale muy barato infringir la norma.</w:t>
      </w:r>
    </w:p>
    <w:p w14:paraId="67E6D9C2"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1E3CD3FA"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Respecto a las asociaciones de los consumidores, me gustaría resaltar dos aspectos. </w:t>
      </w:r>
    </w:p>
    <w:p w14:paraId="1E9CD1E6"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012D2140"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En primer lugar, el relativo a las acciones colectivas y de cesación. Me ha gustado mucho ver que se reconoce a</w:t>
      </w:r>
      <w:r w:rsidRPr="00E96CE6">
        <w:t xml:space="preserve"> </w:t>
      </w:r>
      <w:proofErr w:type="spellStart"/>
      <w:r w:rsidRPr="00E96CE6">
        <w:rPr>
          <w:rStyle w:val="normaltextrun"/>
          <w:rFonts w:ascii="Calibri" w:hAnsi="Calibri" w:cs="Calibri"/>
        </w:rPr>
        <w:t>Kontsumobide</w:t>
      </w:r>
      <w:proofErr w:type="spellEnd"/>
      <w:r>
        <w:rPr>
          <w:rStyle w:val="normaltextrun"/>
          <w:rFonts w:ascii="Calibri" w:hAnsi="Calibri" w:cs="Calibri"/>
        </w:rPr>
        <w:t xml:space="preserve"> la capacidad de actuar. Es importante que las administraciones públicas lleven a cabo iniciativas para erradicar del mercado cláusulas abusivas, así como que las asociaciones de consumidores tengamos esa capacidad.</w:t>
      </w:r>
    </w:p>
    <w:p w14:paraId="3B614CAC"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1EC733B6"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Pero aquí me permito advertirles de algo cuando, a nivel estatal, se trasponga la Directiva europea de acciones de representación, que en breve espero tengamos el anteproyecto de ley, para que pueda estar en marcha en junio de 2023. En dicha trasposición se definirán las entidades habilitadas para ejercer acciones domésticas o acciones transfronterizas. Y aquí existe el riesgo, y me consta que se está llevando a cabo una cierta influencia, para que las únicas habilitadas para ejercer estas acciones colectivas sean sólo aquellas asociaciones inscritas en ámbitos supraautonómico, e incluso me atrevería a decir que sólo las representativas, y que forman parte del CCU. </w:t>
      </w:r>
    </w:p>
    <w:p w14:paraId="5B178829"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30CF6BD4"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Esto iría claramente en detrimento del espíritu de la directiva. Se ha hablado de la competencia de las administraciones, si debiéramos ser sólo las asociaciones de consumidores las que debemos defender a los consumidores financieros. Yo pienso que no, bajo ningún concepto. Las OMIC, por ejemplo, hacen una labor muy valiosa en este sentido y están cerca del ciudadano. Y no sólo las asociaciones de ámbito estatal, también las regionales. De hecho, me permito mencionar a la asociación </w:t>
      </w:r>
      <w:r w:rsidRPr="00CE214B">
        <w:rPr>
          <w:rStyle w:val="normaltextrun"/>
          <w:rFonts w:ascii="Calibri" w:hAnsi="Calibri" w:cs="Calibri"/>
        </w:rPr>
        <w:t>EKA/ACUV</w:t>
      </w:r>
      <w:r>
        <w:rPr>
          <w:rStyle w:val="normaltextrun"/>
          <w:rFonts w:ascii="Calibri" w:hAnsi="Calibri" w:cs="Calibri"/>
        </w:rPr>
        <w:t xml:space="preserve"> (</w:t>
      </w:r>
      <w:r w:rsidRPr="00CE214B">
        <w:rPr>
          <w:rStyle w:val="normaltextrun"/>
          <w:rFonts w:ascii="Calibri" w:hAnsi="Calibri" w:cs="Calibri"/>
        </w:rPr>
        <w:t>Asociación de Personas Consumidoras y Usuarias Vasca/</w:t>
      </w:r>
      <w:proofErr w:type="spellStart"/>
      <w:r w:rsidRPr="00CE214B">
        <w:rPr>
          <w:rStyle w:val="normaltextrun"/>
          <w:rFonts w:ascii="Calibri" w:hAnsi="Calibri" w:cs="Calibri"/>
        </w:rPr>
        <w:t>Euskal</w:t>
      </w:r>
      <w:proofErr w:type="spellEnd"/>
      <w:r w:rsidRPr="00CE214B">
        <w:rPr>
          <w:rStyle w:val="normaltextrun"/>
          <w:rFonts w:ascii="Calibri" w:hAnsi="Calibri" w:cs="Calibri"/>
        </w:rPr>
        <w:t xml:space="preserve"> </w:t>
      </w:r>
      <w:proofErr w:type="spellStart"/>
      <w:r w:rsidRPr="00CE214B">
        <w:rPr>
          <w:rStyle w:val="normaltextrun"/>
          <w:rFonts w:ascii="Calibri" w:hAnsi="Calibri" w:cs="Calibri"/>
        </w:rPr>
        <w:t>Kontsumitzaileen</w:t>
      </w:r>
      <w:proofErr w:type="spellEnd"/>
      <w:r w:rsidRPr="00CE214B">
        <w:rPr>
          <w:rStyle w:val="normaltextrun"/>
          <w:rFonts w:ascii="Calibri" w:hAnsi="Calibri" w:cs="Calibri"/>
        </w:rPr>
        <w:t xml:space="preserve"> </w:t>
      </w:r>
      <w:proofErr w:type="spellStart"/>
      <w:r w:rsidRPr="00CE214B">
        <w:rPr>
          <w:rStyle w:val="normaltextrun"/>
          <w:rFonts w:ascii="Calibri" w:hAnsi="Calibri" w:cs="Calibri"/>
        </w:rPr>
        <w:t>Alkartea</w:t>
      </w:r>
      <w:proofErr w:type="spellEnd"/>
      <w:r>
        <w:rPr>
          <w:rStyle w:val="normaltextrun"/>
          <w:rFonts w:ascii="Calibri" w:hAnsi="Calibri" w:cs="Calibri"/>
        </w:rPr>
        <w:t xml:space="preserve">), que ha llevado adelante acciones colectivas, como la de cesación para expulsar la comisión por ingreso en efectivo, y ha conseguido que el TS las anule. Si fruto de una trasposición de una directiva europea, solo resultan habilitadas las asociaciones supraautonómicas, se perjudicará muchísimo la labor asociativa de las autonómicas. </w:t>
      </w:r>
    </w:p>
    <w:p w14:paraId="2068832D"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647D230C"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Es verdad que estamos aquí para abordar el </w:t>
      </w:r>
      <w:r w:rsidRPr="00AF4A4F">
        <w:rPr>
          <w:rStyle w:val="normaltextrun"/>
          <w:rFonts w:ascii="Calibri" w:hAnsi="Calibri" w:cs="Calibri"/>
        </w:rPr>
        <w:t>proye</w:t>
      </w:r>
      <w:r>
        <w:rPr>
          <w:rStyle w:val="normaltextrun"/>
          <w:rFonts w:ascii="Calibri" w:hAnsi="Calibri" w:cs="Calibri"/>
        </w:rPr>
        <w:t>c</w:t>
      </w:r>
      <w:r w:rsidRPr="00AF4A4F">
        <w:rPr>
          <w:rStyle w:val="normaltextrun"/>
          <w:rFonts w:ascii="Calibri" w:hAnsi="Calibri" w:cs="Calibri"/>
        </w:rPr>
        <w:t>to de Estatuto de las personas consumidoras y usuarias de Euskadi</w:t>
      </w:r>
      <w:r>
        <w:rPr>
          <w:rStyle w:val="normaltextrun"/>
          <w:rFonts w:ascii="Calibri" w:hAnsi="Calibri" w:cs="Calibri"/>
        </w:rPr>
        <w:t>, pero ustedes son políticos y tienen representación a nivel nacional y este derecho que se está recogiendo aquí, hay que defenderlo y pelearlo para que se recoja en la futura trasposición.</w:t>
      </w:r>
    </w:p>
    <w:p w14:paraId="2FB66B10"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04360747"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Creo que hay que ser generosos, y no hay suficientes manos para defender los abusos que se cometen con los consumidores financieros. </w:t>
      </w:r>
    </w:p>
    <w:p w14:paraId="27C1E6B1"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54BBDB1B"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Por último, quiero hacer también algunas consideraciones en torno a una medida que se renueva en esta propuesta.</w:t>
      </w:r>
    </w:p>
    <w:p w14:paraId="45D18D99"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13320AEA"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Tiene que ver con uno de los beneficios que tienen las asociaciones de consumidores, que es el reconocimiento a la justicia gratuita. Este beneficio no sólo se reconoce a nivel estatal, lo recogen varios estatutos a nivel autonómico. Pero se está aplicando de una manera muy irregular y produce una auténtica discriminación entre los consumidores, según el lugar en el que radiquen. La asociación que presido está ejerciendo el derecho de defender a los </w:t>
      </w:r>
      <w:r>
        <w:rPr>
          <w:rStyle w:val="normaltextrun"/>
          <w:rFonts w:ascii="Calibri" w:hAnsi="Calibri" w:cs="Calibri"/>
        </w:rPr>
        <w:lastRenderedPageBreak/>
        <w:t>consumidores con el beneficio de la justicia gratuita sin necesidad de acreditar insuficiencia de recursos para litigar. Y este beneficio se nos está reconociendo en todo el Estado, excepto en Euskadi. Es decir, ni las asociaciones autonómicas de Euskadi ni las estatales que ejercen labor aquí están recibiendo este beneficio. El argumento que se nos da es que sólo está reconocido para las demandas colectivas y no para las individuales, cuando esto no es lo que dice la norma estatal y lo que comparte el resto del Estado. Tenemos más de 8.000 procedimientos en todo el Estado y no lo deniegan en ningún lado. En Euskadi, tenemos más de 1.600 asociados y no los podemos defender con el beneficio de la justicia gratuita. Los colegios de abogados de Euskadi y las comisiones de justicia gratuita han decidido que no es procedente. Y esto supone una clara discriminación de los consumidores de Euskadi, frente al resto.</w:t>
      </w:r>
    </w:p>
    <w:p w14:paraId="01D96ECE"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0D7C865E"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Si el ejercicio de la norma no surte ningún efecto, no es útil, no sirve para nada. </w:t>
      </w:r>
    </w:p>
    <w:p w14:paraId="7D3B7A19"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p>
    <w:p w14:paraId="6DC7F988" w14:textId="77777777" w:rsidR="000179C1" w:rsidRDefault="000179C1" w:rsidP="000179C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Para finalizar, concluir que el Estatuto tiene grandes avances, recoge muchas cuestiones que a nivel europeo estamos defendiendo, es muy protector con los consumidores, pero si no se define de manera más clara algunos aspectos, como los que he reseñado, mucho me temo que no será muy efectiva. </w:t>
      </w:r>
    </w:p>
    <w:p w14:paraId="2BBCB857" w14:textId="77777777" w:rsidR="000179C1" w:rsidRDefault="000179C1" w:rsidP="000179C1">
      <w:pPr>
        <w:pStyle w:val="paragraph"/>
        <w:spacing w:before="0" w:beforeAutospacing="0" w:after="0" w:afterAutospacing="0"/>
        <w:textAlignment w:val="baseline"/>
        <w:rPr>
          <w:rStyle w:val="normaltextrun"/>
          <w:rFonts w:ascii="Calibri" w:hAnsi="Calibri" w:cs="Calibri"/>
        </w:rPr>
      </w:pPr>
    </w:p>
    <w:p w14:paraId="0AB60F8D" w14:textId="74CC1F17" w:rsidR="004E1F8F" w:rsidRDefault="004E1F8F" w:rsidP="00EA087A">
      <w:pPr>
        <w:pStyle w:val="NormalWeb"/>
        <w:spacing w:line="360" w:lineRule="auto"/>
        <w:jc w:val="right"/>
        <w:rPr>
          <w:rFonts w:asciiTheme="majorHAnsi" w:hAnsiTheme="majorHAnsi" w:cstheme="majorHAnsi"/>
          <w:sz w:val="24"/>
          <w:szCs w:val="24"/>
        </w:rPr>
      </w:pPr>
    </w:p>
    <w:tbl>
      <w:tblPr>
        <w:tblStyle w:val="Tablaconcuadrcula"/>
        <w:tblW w:w="5000" w:type="pct"/>
        <w:tblBorders>
          <w:top w:val="single" w:sz="4" w:space="0" w:color="D9117E"/>
          <w:left w:val="single" w:sz="4" w:space="0" w:color="D9117E"/>
          <w:bottom w:val="single" w:sz="4" w:space="0" w:color="D9117E"/>
          <w:right w:val="single" w:sz="4" w:space="0" w:color="D9117E"/>
          <w:insideH w:val="none" w:sz="0" w:space="0" w:color="auto"/>
          <w:insideV w:val="none" w:sz="0" w:space="0" w:color="auto"/>
        </w:tblBorders>
        <w:tblLook w:val="04A0" w:firstRow="1" w:lastRow="0" w:firstColumn="1" w:lastColumn="0" w:noHBand="0" w:noVBand="1"/>
      </w:tblPr>
      <w:tblGrid>
        <w:gridCol w:w="9054"/>
      </w:tblGrid>
      <w:tr w:rsidR="00055BEE" w:rsidRPr="00DF3C11" w14:paraId="7A788B7C" w14:textId="77777777" w:rsidTr="00843BA2">
        <w:tc>
          <w:tcPr>
            <w:tcW w:w="5000" w:type="pct"/>
          </w:tcPr>
          <w:p w14:paraId="341DE8CB" w14:textId="77777777" w:rsidR="00055BEE" w:rsidRPr="00CE1459" w:rsidRDefault="00055BEE" w:rsidP="00843BA2">
            <w:pPr>
              <w:spacing w:beforeLines="40" w:before="96" w:afterLines="40" w:after="96" w:line="276" w:lineRule="auto"/>
              <w:jc w:val="center"/>
              <w:rPr>
                <w:rFonts w:cs="Open Sans"/>
                <w:szCs w:val="20"/>
              </w:rPr>
            </w:pPr>
            <w:r w:rsidRPr="00CE1459">
              <w:rPr>
                <w:rFonts w:cs="Open Sans"/>
                <w:b/>
                <w:color w:val="CC006A"/>
                <w:szCs w:val="20"/>
              </w:rPr>
              <w:t>SOBRE ASUFIN (ASOCIACIÓN DE USUARIOS FINANCIEROS)</w:t>
            </w:r>
          </w:p>
        </w:tc>
      </w:tr>
      <w:tr w:rsidR="00055BEE" w:rsidRPr="00DF3C11" w14:paraId="0039E0DD" w14:textId="77777777" w:rsidTr="00843BA2">
        <w:tc>
          <w:tcPr>
            <w:tcW w:w="5000" w:type="pct"/>
          </w:tcPr>
          <w:p w14:paraId="7D8C08C8" w14:textId="77777777" w:rsidR="00055BEE" w:rsidRPr="00CE1459" w:rsidRDefault="00055BEE" w:rsidP="00843BA2">
            <w:pPr>
              <w:spacing w:beforeLines="40" w:before="96" w:afterLines="40" w:after="96" w:line="276" w:lineRule="auto"/>
              <w:rPr>
                <w:rFonts w:cs="Open Sans"/>
                <w:szCs w:val="20"/>
              </w:rPr>
            </w:pPr>
            <w:r w:rsidRPr="00CE1459">
              <w:rPr>
                <w:rFonts w:cs="Open Sans"/>
                <w:szCs w:val="20"/>
              </w:rPr>
              <w:t xml:space="preserve">ASUFIN es una asociación de consumidores que constituida el 20 de julio de 2009 e inscrita en el Registro Estatal de Asociaciones de Consumidores y Usuarios (REACU) con el nr. 21 desde el 15 diciembre de 2011. ASUFIN forma parte del Programa de Educación Financiera del Banco de España y la CNMV del que ha obtenido el </w:t>
            </w:r>
            <w:r w:rsidRPr="00CE1459">
              <w:rPr>
                <w:rFonts w:cs="Open Sans"/>
                <w:b/>
                <w:bCs/>
                <w:szCs w:val="20"/>
              </w:rPr>
              <w:t>Premio a la Mejor trayectoria en el desarrollo del Plan de Educación Financiera en 2021</w:t>
            </w:r>
            <w:r w:rsidRPr="00CE1459">
              <w:rPr>
                <w:rFonts w:cs="Open Sans"/>
                <w:szCs w:val="20"/>
              </w:rPr>
              <w:t>. Así mismo, ASUFIN contribuye a la protección y defensa del usuario financiero formando parte de:</w:t>
            </w:r>
          </w:p>
        </w:tc>
      </w:tr>
      <w:tr w:rsidR="00055BEE" w:rsidRPr="00B45907" w14:paraId="1C1B2792" w14:textId="77777777" w:rsidTr="00843BA2">
        <w:tc>
          <w:tcPr>
            <w:tcW w:w="5000" w:type="pct"/>
          </w:tcPr>
          <w:p w14:paraId="477429AB" w14:textId="77777777" w:rsidR="00055BEE" w:rsidRPr="00CE1459" w:rsidRDefault="00055BEE" w:rsidP="00843BA2">
            <w:pPr>
              <w:pStyle w:val="Prrafodelista"/>
              <w:spacing w:beforeLines="40" w:before="96" w:afterLines="40" w:after="96" w:line="276" w:lineRule="auto"/>
              <w:ind w:left="451"/>
              <w:rPr>
                <w:rFonts w:cs="Open Sans"/>
                <w:szCs w:val="20"/>
              </w:rPr>
            </w:pPr>
            <w:r w:rsidRPr="00CE1459">
              <w:rPr>
                <w:rFonts w:cs="Open Sans"/>
                <w:b/>
                <w:color w:val="CC006A"/>
                <w:szCs w:val="20"/>
              </w:rPr>
              <w:t>Consejos consultivos</w:t>
            </w:r>
          </w:p>
          <w:p w14:paraId="4E6F657B"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Pr>
                <w:rFonts w:cs="Open Sans"/>
                <w:b/>
                <w:bCs/>
                <w:szCs w:val="20"/>
                <w:lang w:val="en-US"/>
              </w:rPr>
              <w:t xml:space="preserve">EBA - </w:t>
            </w:r>
            <w:proofErr w:type="spellStart"/>
            <w:r w:rsidRPr="003E7945">
              <w:rPr>
                <w:rFonts w:cs="Open Sans"/>
                <w:szCs w:val="20"/>
                <w:lang w:val="en-US"/>
              </w:rPr>
              <w:t>Autoridad</w:t>
            </w:r>
            <w:proofErr w:type="spellEnd"/>
            <w:r w:rsidRPr="003E7945">
              <w:rPr>
                <w:rFonts w:cs="Open Sans"/>
                <w:szCs w:val="20"/>
              </w:rPr>
              <w:t xml:space="preserve"> Bancaria Europea - </w:t>
            </w:r>
            <w:proofErr w:type="spellStart"/>
            <w:r w:rsidRPr="00CE1459">
              <w:rPr>
                <w:rFonts w:cs="Open Sans"/>
                <w:szCs w:val="20"/>
              </w:rPr>
              <w:t>Banking</w:t>
            </w:r>
            <w:proofErr w:type="spellEnd"/>
            <w:r w:rsidRPr="00CE1459">
              <w:rPr>
                <w:rFonts w:cs="Open Sans"/>
                <w:szCs w:val="20"/>
              </w:rPr>
              <w:t xml:space="preserve"> </w:t>
            </w:r>
            <w:proofErr w:type="spellStart"/>
            <w:r w:rsidRPr="00CE1459">
              <w:rPr>
                <w:rFonts w:cs="Open Sans"/>
                <w:szCs w:val="20"/>
              </w:rPr>
              <w:t>Stakholder</w:t>
            </w:r>
            <w:proofErr w:type="spellEnd"/>
            <w:r w:rsidRPr="00CE1459">
              <w:rPr>
                <w:rFonts w:cs="Open Sans"/>
                <w:szCs w:val="20"/>
              </w:rPr>
              <w:t xml:space="preserve"> </w:t>
            </w:r>
            <w:proofErr w:type="spellStart"/>
            <w:r w:rsidRPr="00CE1459">
              <w:rPr>
                <w:rFonts w:cs="Open Sans"/>
                <w:szCs w:val="20"/>
              </w:rPr>
              <w:t>Group</w:t>
            </w:r>
            <w:proofErr w:type="spellEnd"/>
            <w:r w:rsidRPr="00CE1459">
              <w:rPr>
                <w:rFonts w:cs="Open Sans"/>
                <w:szCs w:val="20"/>
              </w:rPr>
              <w:t xml:space="preserve"> (BSG). </w:t>
            </w:r>
            <w:r>
              <w:rPr>
                <w:rFonts w:cs="Open Sans"/>
                <w:szCs w:val="20"/>
              </w:rPr>
              <w:t>Mayo 2020</w:t>
            </w:r>
            <w:r w:rsidRPr="00CE1459">
              <w:rPr>
                <w:rFonts w:cs="Open Sans"/>
                <w:szCs w:val="20"/>
              </w:rPr>
              <w:t>.</w:t>
            </w:r>
          </w:p>
          <w:p w14:paraId="2294F82D"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sidRPr="003E7945">
              <w:rPr>
                <w:rFonts w:cs="Open Sans"/>
                <w:b/>
                <w:bCs/>
                <w:szCs w:val="20"/>
              </w:rPr>
              <w:t>DG FISMA</w:t>
            </w:r>
            <w:r>
              <w:rPr>
                <w:rFonts w:cs="Open Sans"/>
                <w:szCs w:val="20"/>
              </w:rPr>
              <w:t xml:space="preserve"> - </w:t>
            </w:r>
            <w:r w:rsidRPr="00CE1459">
              <w:rPr>
                <w:rFonts w:cs="Open Sans"/>
                <w:szCs w:val="20"/>
              </w:rPr>
              <w:t xml:space="preserve">Dirección General de Estabilidad Financiera y Unión de Mercado de Capitales - Non </w:t>
            </w:r>
            <w:proofErr w:type="spellStart"/>
            <w:r w:rsidRPr="00CE1459">
              <w:rPr>
                <w:rFonts w:cs="Open Sans"/>
                <w:szCs w:val="20"/>
              </w:rPr>
              <w:t>Performing</w:t>
            </w:r>
            <w:proofErr w:type="spellEnd"/>
            <w:r w:rsidRPr="00CE1459">
              <w:rPr>
                <w:rFonts w:cs="Open Sans"/>
                <w:szCs w:val="20"/>
              </w:rPr>
              <w:t xml:space="preserve"> </w:t>
            </w:r>
            <w:proofErr w:type="spellStart"/>
            <w:r w:rsidRPr="00CE1459">
              <w:rPr>
                <w:rFonts w:cs="Open Sans"/>
                <w:szCs w:val="20"/>
              </w:rPr>
              <w:t>Loans</w:t>
            </w:r>
            <w:proofErr w:type="spellEnd"/>
            <w:r w:rsidRPr="00CE1459">
              <w:rPr>
                <w:rFonts w:cs="Open Sans"/>
                <w:szCs w:val="20"/>
              </w:rPr>
              <w:t xml:space="preserve"> </w:t>
            </w:r>
            <w:proofErr w:type="spellStart"/>
            <w:r w:rsidRPr="00CE1459">
              <w:rPr>
                <w:rFonts w:cs="Open Sans"/>
                <w:szCs w:val="20"/>
              </w:rPr>
              <w:t>Advisory</w:t>
            </w:r>
            <w:proofErr w:type="spellEnd"/>
            <w:r w:rsidRPr="00CE1459">
              <w:rPr>
                <w:rFonts w:cs="Open Sans"/>
                <w:szCs w:val="20"/>
              </w:rPr>
              <w:t xml:space="preserve"> Panel. Septiembre 2021.</w:t>
            </w:r>
          </w:p>
          <w:p w14:paraId="48019DAE" w14:textId="77777777" w:rsidR="00055BEE" w:rsidRDefault="00055BEE" w:rsidP="00055BEE">
            <w:pPr>
              <w:pStyle w:val="Prrafodelista"/>
              <w:numPr>
                <w:ilvl w:val="0"/>
                <w:numId w:val="8"/>
              </w:numPr>
              <w:spacing w:beforeLines="40" w:before="96" w:afterLines="40" w:after="96" w:line="276" w:lineRule="auto"/>
              <w:ind w:left="451" w:hanging="283"/>
              <w:rPr>
                <w:rFonts w:cs="Open Sans"/>
                <w:szCs w:val="20"/>
              </w:rPr>
            </w:pPr>
            <w:r w:rsidRPr="003E7945">
              <w:rPr>
                <w:rFonts w:cs="Open Sans"/>
                <w:b/>
                <w:bCs/>
                <w:szCs w:val="20"/>
              </w:rPr>
              <w:t>ESMA</w:t>
            </w:r>
            <w:r>
              <w:rPr>
                <w:rFonts w:cs="Open Sans"/>
                <w:szCs w:val="20"/>
              </w:rPr>
              <w:t xml:space="preserve"> - </w:t>
            </w:r>
            <w:r w:rsidRPr="00CE1459">
              <w:rPr>
                <w:rFonts w:cs="Open Sans"/>
                <w:szCs w:val="20"/>
              </w:rPr>
              <w:t xml:space="preserve">Autoridad Europea de Valores y Mercados - Investor </w:t>
            </w:r>
            <w:proofErr w:type="spellStart"/>
            <w:r w:rsidRPr="00CE1459">
              <w:rPr>
                <w:rFonts w:cs="Open Sans"/>
                <w:szCs w:val="20"/>
              </w:rPr>
              <w:t>Protection</w:t>
            </w:r>
            <w:proofErr w:type="spellEnd"/>
            <w:r w:rsidRPr="00CE1459">
              <w:rPr>
                <w:rFonts w:cs="Open Sans"/>
                <w:szCs w:val="20"/>
              </w:rPr>
              <w:t xml:space="preserve"> and Intermediaries Standing </w:t>
            </w:r>
            <w:proofErr w:type="spellStart"/>
            <w:r w:rsidRPr="00CE1459">
              <w:rPr>
                <w:rFonts w:cs="Open Sans"/>
                <w:szCs w:val="20"/>
              </w:rPr>
              <w:t>Committee</w:t>
            </w:r>
            <w:proofErr w:type="spellEnd"/>
            <w:r w:rsidRPr="00CE1459">
              <w:rPr>
                <w:rFonts w:cs="Open Sans"/>
                <w:szCs w:val="20"/>
              </w:rPr>
              <w:t xml:space="preserve"> (IPISC). Abril 2022.</w:t>
            </w:r>
          </w:p>
          <w:p w14:paraId="010AF30F" w14:textId="77777777" w:rsidR="00055BEE" w:rsidRPr="00B45907"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B45907">
              <w:rPr>
                <w:rFonts w:cs="Open Sans"/>
                <w:b/>
                <w:bCs/>
                <w:szCs w:val="20"/>
                <w:lang w:val="en-US"/>
              </w:rPr>
              <w:t xml:space="preserve">DG FISMA </w:t>
            </w:r>
            <w:r w:rsidRPr="00B45907">
              <w:rPr>
                <w:rFonts w:cs="Open Sans"/>
                <w:szCs w:val="20"/>
                <w:lang w:val="en-US"/>
              </w:rPr>
              <w:t>– Financial Servic</w:t>
            </w:r>
            <w:r>
              <w:rPr>
                <w:rFonts w:cs="Open Sans"/>
                <w:szCs w:val="20"/>
                <w:lang w:val="en-US"/>
              </w:rPr>
              <w:t>e</w:t>
            </w:r>
            <w:r w:rsidRPr="00B45907">
              <w:rPr>
                <w:rFonts w:cs="Open Sans"/>
                <w:szCs w:val="20"/>
                <w:lang w:val="en-US"/>
              </w:rPr>
              <w:t>s Users Group</w:t>
            </w:r>
            <w:r>
              <w:rPr>
                <w:rFonts w:cs="Open Sans"/>
                <w:szCs w:val="20"/>
                <w:lang w:val="en-US"/>
              </w:rPr>
              <w:t xml:space="preserve"> (FSUG). May 2022.</w:t>
            </w:r>
          </w:p>
        </w:tc>
      </w:tr>
      <w:tr w:rsidR="00055BEE" w:rsidRPr="00DF3C11" w14:paraId="0A8C4525" w14:textId="77777777" w:rsidTr="00843BA2">
        <w:tc>
          <w:tcPr>
            <w:tcW w:w="5000" w:type="pct"/>
          </w:tcPr>
          <w:p w14:paraId="58C9CA74" w14:textId="77777777" w:rsidR="00055BEE" w:rsidRPr="00CE1459" w:rsidRDefault="00055BEE" w:rsidP="00843BA2">
            <w:pPr>
              <w:pStyle w:val="Prrafodelista"/>
              <w:spacing w:beforeLines="40" w:before="96" w:afterLines="40" w:after="96" w:line="276" w:lineRule="auto"/>
              <w:ind w:left="451"/>
              <w:rPr>
                <w:rFonts w:cs="Open Sans"/>
                <w:szCs w:val="20"/>
              </w:rPr>
            </w:pPr>
            <w:r w:rsidRPr="00CE1459">
              <w:rPr>
                <w:rFonts w:cs="Open Sans"/>
                <w:b/>
                <w:color w:val="CC006A"/>
                <w:szCs w:val="20"/>
              </w:rPr>
              <w:t>Organizaciones sin ánimo de lucro</w:t>
            </w:r>
          </w:p>
          <w:p w14:paraId="5068B53F"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CE1459">
              <w:rPr>
                <w:rFonts w:cs="Open Sans"/>
                <w:b/>
                <w:bCs/>
                <w:szCs w:val="20"/>
                <w:lang w:val="en-US"/>
              </w:rPr>
              <w:t>FINANCE WATCH</w:t>
            </w:r>
            <w:r w:rsidRPr="00CE1459">
              <w:rPr>
                <w:rFonts w:cs="Open Sans"/>
                <w:szCs w:val="20"/>
                <w:lang w:val="en-US"/>
              </w:rPr>
              <w:t>. Mayo 2019</w:t>
            </w:r>
          </w:p>
          <w:p w14:paraId="5BFDFFA9"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CE1459">
              <w:rPr>
                <w:rFonts w:cs="Open Sans"/>
                <w:b/>
                <w:bCs/>
                <w:szCs w:val="20"/>
                <w:lang w:val="en-US"/>
              </w:rPr>
              <w:t>ALASTRIA</w:t>
            </w:r>
            <w:r w:rsidRPr="00CE1459">
              <w:rPr>
                <w:rFonts w:cs="Open Sans"/>
                <w:szCs w:val="20"/>
                <w:lang w:val="en-US"/>
              </w:rPr>
              <w:t>. Mayo 2019</w:t>
            </w:r>
          </w:p>
          <w:p w14:paraId="3A45E510"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CE1459">
              <w:rPr>
                <w:rFonts w:cs="Open Sans"/>
                <w:b/>
                <w:bCs/>
                <w:szCs w:val="20"/>
                <w:lang w:val="en-US"/>
              </w:rPr>
              <w:lastRenderedPageBreak/>
              <w:t>BEUC</w:t>
            </w:r>
            <w:r w:rsidRPr="00CE1459">
              <w:rPr>
                <w:rFonts w:cs="Open Sans"/>
                <w:szCs w:val="20"/>
                <w:lang w:val="en-US"/>
              </w:rPr>
              <w:t xml:space="preserve">. </w:t>
            </w:r>
            <w:r w:rsidRPr="00CE1459">
              <w:rPr>
                <w:rFonts w:cs="Open Sans"/>
                <w:iCs/>
                <w:szCs w:val="20"/>
                <w:lang w:val="en-US"/>
              </w:rPr>
              <w:t xml:space="preserve">Bureau </w:t>
            </w:r>
            <w:proofErr w:type="spellStart"/>
            <w:r w:rsidRPr="00CE1459">
              <w:rPr>
                <w:rFonts w:cs="Open Sans"/>
                <w:iCs/>
                <w:szCs w:val="20"/>
                <w:lang w:val="en-US"/>
              </w:rPr>
              <w:t>Européen</w:t>
            </w:r>
            <w:proofErr w:type="spellEnd"/>
            <w:r w:rsidRPr="00CE1459">
              <w:rPr>
                <w:rFonts w:cs="Open Sans"/>
                <w:iCs/>
                <w:szCs w:val="20"/>
                <w:lang w:val="en-US"/>
              </w:rPr>
              <w:t xml:space="preserve"> des Unions de </w:t>
            </w:r>
            <w:proofErr w:type="spellStart"/>
            <w:r w:rsidRPr="00CE1459">
              <w:rPr>
                <w:rFonts w:cs="Open Sans"/>
                <w:iCs/>
                <w:szCs w:val="20"/>
                <w:lang w:val="en-US"/>
              </w:rPr>
              <w:t>Consommateurs</w:t>
            </w:r>
            <w:proofErr w:type="spellEnd"/>
            <w:r w:rsidRPr="00CE1459">
              <w:rPr>
                <w:rFonts w:cs="Open Sans"/>
                <w:szCs w:val="20"/>
                <w:lang w:val="en-US"/>
              </w:rPr>
              <w:t>. Mayo 2020.</w:t>
            </w:r>
          </w:p>
          <w:p w14:paraId="26717B85"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sidRPr="00CE1459">
              <w:rPr>
                <w:rFonts w:cs="Open Sans"/>
                <w:b/>
                <w:bCs/>
                <w:szCs w:val="20"/>
              </w:rPr>
              <w:t>DEA</w:t>
            </w:r>
            <w:r w:rsidRPr="00CE1459">
              <w:rPr>
                <w:rFonts w:cs="Open Sans"/>
                <w:szCs w:val="20"/>
              </w:rPr>
              <w:t xml:space="preserve">. Digital </w:t>
            </w:r>
            <w:proofErr w:type="gramStart"/>
            <w:r w:rsidRPr="00CE1459">
              <w:rPr>
                <w:rFonts w:cs="Open Sans"/>
                <w:szCs w:val="20"/>
              </w:rPr>
              <w:t>Euro</w:t>
            </w:r>
            <w:proofErr w:type="gramEnd"/>
            <w:r w:rsidRPr="00CE1459">
              <w:rPr>
                <w:rFonts w:cs="Open Sans"/>
                <w:szCs w:val="20"/>
              </w:rPr>
              <w:t xml:space="preserve"> </w:t>
            </w:r>
            <w:proofErr w:type="spellStart"/>
            <w:r w:rsidRPr="00CE1459">
              <w:rPr>
                <w:rFonts w:cs="Open Sans"/>
                <w:szCs w:val="20"/>
              </w:rPr>
              <w:t>Association</w:t>
            </w:r>
            <w:proofErr w:type="spellEnd"/>
            <w:r w:rsidRPr="00CE1459">
              <w:rPr>
                <w:rFonts w:cs="Open Sans"/>
                <w:szCs w:val="20"/>
              </w:rPr>
              <w:t>. Junio 2021.</w:t>
            </w:r>
          </w:p>
          <w:p w14:paraId="6A9C5596"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sidRPr="00CE1459">
              <w:rPr>
                <w:rFonts w:cs="Open Sans"/>
                <w:b/>
                <w:bCs/>
                <w:szCs w:val="20"/>
              </w:rPr>
              <w:t>SPAINSIF</w:t>
            </w:r>
            <w:r w:rsidRPr="00CE1459">
              <w:rPr>
                <w:rFonts w:cs="Open Sans"/>
                <w:szCs w:val="20"/>
              </w:rPr>
              <w:t>. Octubre 2021.</w:t>
            </w:r>
          </w:p>
        </w:tc>
      </w:tr>
      <w:tr w:rsidR="00055BEE" w:rsidRPr="00DF3C11" w14:paraId="3D89C90B" w14:textId="77777777" w:rsidTr="00843BA2">
        <w:tc>
          <w:tcPr>
            <w:tcW w:w="5000" w:type="pct"/>
          </w:tcPr>
          <w:p w14:paraId="42455443" w14:textId="77777777" w:rsidR="00055BEE" w:rsidRPr="00CE1459" w:rsidRDefault="00055BEE" w:rsidP="00843BA2">
            <w:pPr>
              <w:spacing w:beforeLines="40" w:before="96" w:afterLines="40" w:after="96" w:line="276" w:lineRule="auto"/>
              <w:rPr>
                <w:rFonts w:cs="Open Sans"/>
                <w:szCs w:val="20"/>
              </w:rPr>
            </w:pPr>
            <w:r w:rsidRPr="00CE1459">
              <w:rPr>
                <w:rFonts w:cs="Open Sans"/>
                <w:szCs w:val="20"/>
              </w:rPr>
              <w:lastRenderedPageBreak/>
              <w:t>ASUFIN tiene por objeto la defensa de los derechos e intereses legítimos de los usuarios de los servicios prestados por las entidades de crédito y los establecimientos financieros de crédito, las empresas de servicios de inversión, las instituciones de inversión colectiva y, en general, cuantas personas o entidades ejerzan, de forma directa o indirecta, actividades relacionadas con la actividad financiera, con los mercados de valores, las entidades aseguradoras, y cualquier otro tipo de intermediario financiero. Así mismo, la defensa de los derechos e intereses legítimos de los consumidores y usuarios de todo tipo de productos y servicios en general.</w:t>
            </w:r>
          </w:p>
          <w:p w14:paraId="78BE748A" w14:textId="77777777" w:rsidR="00055BEE" w:rsidRPr="00CE1459" w:rsidRDefault="00055BEE" w:rsidP="00843BA2">
            <w:pPr>
              <w:spacing w:beforeLines="40" w:before="96" w:afterLines="40" w:after="96" w:line="276" w:lineRule="auto"/>
              <w:rPr>
                <w:rFonts w:cs="Open Sans"/>
                <w:szCs w:val="20"/>
              </w:rPr>
            </w:pPr>
            <w:r w:rsidRPr="00CE1459">
              <w:rPr>
                <w:rFonts w:cs="Open Sans"/>
                <w:szCs w:val="20"/>
              </w:rPr>
              <w:t>ASUFIN tiene intereses legítimos de acuerdo con el artículo 4 de la Ley 39/2015, de 1 de octubre, del Procedimiento Administrativo Común de las Administraciones Públicas.</w:t>
            </w:r>
          </w:p>
        </w:tc>
      </w:tr>
    </w:tbl>
    <w:p w14:paraId="2F2E39AF" w14:textId="1B67C292" w:rsidR="00055BEE" w:rsidRDefault="00055BEE" w:rsidP="00EA087A">
      <w:pPr>
        <w:pStyle w:val="NormalWeb"/>
        <w:spacing w:line="360" w:lineRule="auto"/>
        <w:jc w:val="right"/>
        <w:rPr>
          <w:rFonts w:asciiTheme="majorHAnsi" w:hAnsiTheme="majorHAnsi" w:cstheme="majorHAnsi"/>
          <w:sz w:val="24"/>
          <w:szCs w:val="24"/>
        </w:rPr>
      </w:pPr>
    </w:p>
    <w:p w14:paraId="76A02644" w14:textId="78E8E6A0" w:rsidR="00055BEE" w:rsidRDefault="00055BEE" w:rsidP="00EA087A">
      <w:pPr>
        <w:pStyle w:val="NormalWeb"/>
        <w:spacing w:line="360" w:lineRule="auto"/>
        <w:jc w:val="right"/>
        <w:rPr>
          <w:rFonts w:asciiTheme="majorHAnsi" w:hAnsiTheme="majorHAnsi" w:cstheme="majorHAnsi"/>
          <w:sz w:val="24"/>
          <w:szCs w:val="24"/>
        </w:rPr>
      </w:pPr>
    </w:p>
    <w:p w14:paraId="19E485EF" w14:textId="6EF2D466" w:rsidR="00055BEE" w:rsidRDefault="00055BEE" w:rsidP="00EA087A">
      <w:pPr>
        <w:pStyle w:val="NormalWeb"/>
        <w:spacing w:line="360" w:lineRule="auto"/>
        <w:jc w:val="right"/>
        <w:rPr>
          <w:rFonts w:asciiTheme="majorHAnsi" w:hAnsiTheme="majorHAnsi" w:cstheme="majorHAnsi"/>
          <w:sz w:val="24"/>
          <w:szCs w:val="24"/>
        </w:rPr>
      </w:pPr>
    </w:p>
    <w:p w14:paraId="74CB3E32" w14:textId="77777777" w:rsidR="00055BEE" w:rsidRDefault="00055BEE" w:rsidP="00EA087A">
      <w:pPr>
        <w:pStyle w:val="NormalWeb"/>
        <w:spacing w:line="360" w:lineRule="auto"/>
        <w:jc w:val="right"/>
        <w:rPr>
          <w:rFonts w:asciiTheme="majorHAnsi" w:hAnsiTheme="majorHAnsi" w:cstheme="majorHAnsi"/>
          <w:sz w:val="24"/>
          <w:szCs w:val="24"/>
        </w:rPr>
      </w:pPr>
    </w:p>
    <w:sectPr w:rsidR="00055BEE" w:rsidSect="00170CD4">
      <w:headerReference w:type="default" r:id="rId11"/>
      <w:footerReference w:type="default" r:id="rId12"/>
      <w:pgSz w:w="11900" w:h="16840"/>
      <w:pgMar w:top="2268" w:right="1418" w:bottom="1276"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1BF13" w14:textId="77777777" w:rsidR="001A5433" w:rsidRDefault="001A5433" w:rsidP="00DA1912">
      <w:r>
        <w:separator/>
      </w:r>
    </w:p>
  </w:endnote>
  <w:endnote w:type="continuationSeparator" w:id="0">
    <w:p w14:paraId="2BF93018" w14:textId="77777777" w:rsidR="001A5433" w:rsidRDefault="001A5433" w:rsidP="00DA1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Open Sans">
    <w:panose1 w:val="020B03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4D"/>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notTrueType/>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EF25D" w14:textId="77777777" w:rsidR="004E1F8F" w:rsidRDefault="004E1F8F" w:rsidP="00324E0A">
    <w:pPr>
      <w:pStyle w:val="Piedepgina"/>
      <w:tabs>
        <w:tab w:val="clear" w:pos="8504"/>
        <w:tab w:val="right" w:pos="9923"/>
      </w:tabs>
      <w:ind w:right="-1701" w:hanging="2835"/>
      <w:jc w:val="right"/>
    </w:pPr>
  </w:p>
  <w:p w14:paraId="7274D38A" w14:textId="77777777" w:rsidR="004E1F8F" w:rsidRPr="00170CD4" w:rsidRDefault="004E1F8F" w:rsidP="00170CD4">
    <w:pPr>
      <w:pStyle w:val="Piedepgina"/>
      <w:pBdr>
        <w:top w:val="single" w:sz="12" w:space="1" w:color="56A944"/>
      </w:pBdr>
      <w:tabs>
        <w:tab w:val="clear" w:pos="8504"/>
      </w:tabs>
      <w:spacing w:after="0" w:line="240" w:lineRule="auto"/>
      <w:ind w:left="-567" w:right="-575"/>
      <w:jc w:val="center"/>
      <w:rPr>
        <w:rFonts w:cs="Times New Roman"/>
        <w:color w:val="808080" w:themeColor="background1" w:themeShade="80"/>
        <w:sz w:val="16"/>
        <w:szCs w:val="16"/>
      </w:rPr>
    </w:pPr>
  </w:p>
  <w:p w14:paraId="06E45BB5"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Pr>
        <w:rFonts w:cs="Times New Roman"/>
        <w:color w:val="808080" w:themeColor="background1" w:themeShade="80"/>
        <w:sz w:val="18"/>
        <w:szCs w:val="18"/>
      </w:rPr>
      <w:t xml:space="preserve">Plaza de las Cortes, 4 – 4D – 28014 Madrid – Tel. </w:t>
    </w:r>
    <w:r w:rsidRPr="002346FC">
      <w:rPr>
        <w:rFonts w:cs="Times New Roman"/>
        <w:color w:val="808080" w:themeColor="background1" w:themeShade="80"/>
        <w:sz w:val="18"/>
        <w:szCs w:val="18"/>
      </w:rPr>
      <w:t>915 327 583</w:t>
    </w:r>
    <w:r>
      <w:rPr>
        <w:rFonts w:cs="Times New Roman"/>
        <w:color w:val="808080" w:themeColor="background1" w:themeShade="80"/>
        <w:sz w:val="18"/>
        <w:szCs w:val="18"/>
      </w:rPr>
      <w:t xml:space="preserve"> – </w:t>
    </w:r>
    <w:r w:rsidRPr="002346FC">
      <w:rPr>
        <w:rFonts w:cs="Times New Roman"/>
        <w:color w:val="808080" w:themeColor="background1" w:themeShade="80"/>
        <w:sz w:val="18"/>
        <w:szCs w:val="18"/>
      </w:rPr>
      <w:t>www.asufin</w:t>
    </w:r>
    <w:r>
      <w:rPr>
        <w:rFonts w:cs="Times New Roman"/>
        <w:color w:val="808080" w:themeColor="background1" w:themeShade="80"/>
        <w:sz w:val="18"/>
        <w:szCs w:val="18"/>
      </w:rPr>
      <w:t xml:space="preserve">.com - info@asufin.com </w:t>
    </w:r>
  </w:p>
  <w:p w14:paraId="019EEAED"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Pr>
        <w:rFonts w:cs="Times New Roman"/>
        <w:color w:val="808080" w:themeColor="background1" w:themeShade="80"/>
        <w:sz w:val="18"/>
        <w:szCs w:val="18"/>
      </w:rPr>
      <w:t xml:space="preserve">CIF </w:t>
    </w:r>
    <w:r w:rsidRPr="002346FC">
      <w:rPr>
        <w:rFonts w:cs="Times New Roman"/>
        <w:color w:val="808080" w:themeColor="background1" w:themeShade="80"/>
        <w:sz w:val="18"/>
        <w:szCs w:val="18"/>
      </w:rPr>
      <w:t>G85769743</w:t>
    </w:r>
    <w:r>
      <w:rPr>
        <w:rFonts w:cs="Times New Roman"/>
        <w:color w:val="808080" w:themeColor="background1" w:themeShade="80"/>
        <w:sz w:val="18"/>
        <w:szCs w:val="18"/>
      </w:rPr>
      <w:t xml:space="preserve"> – Registro Estatal de Asociaciones de Consumidores y Usuarios nr. 21</w:t>
    </w:r>
  </w:p>
  <w:p w14:paraId="48A7341A"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sidRPr="00DB7B00">
      <w:rPr>
        <w:rFonts w:cs="Times New Roman"/>
        <w:color w:val="808080" w:themeColor="background1" w:themeShade="80"/>
        <w:sz w:val="18"/>
        <w:szCs w:val="18"/>
      </w:rPr>
      <w:fldChar w:fldCharType="begin"/>
    </w:r>
    <w:r w:rsidRPr="00DB7B00">
      <w:rPr>
        <w:rFonts w:cs="Times New Roman"/>
        <w:color w:val="808080" w:themeColor="background1" w:themeShade="80"/>
        <w:sz w:val="18"/>
        <w:szCs w:val="18"/>
      </w:rPr>
      <w:instrText xml:space="preserve"> PAGE </w:instrText>
    </w:r>
    <w:r w:rsidRPr="00DB7B00">
      <w:rPr>
        <w:rFonts w:cs="Times New Roman"/>
        <w:color w:val="808080" w:themeColor="background1" w:themeShade="80"/>
        <w:sz w:val="18"/>
        <w:szCs w:val="18"/>
      </w:rPr>
      <w:fldChar w:fldCharType="separate"/>
    </w:r>
    <w:r w:rsidR="00A11622">
      <w:rPr>
        <w:rFonts w:cs="Times New Roman"/>
        <w:noProof/>
        <w:color w:val="808080" w:themeColor="background1" w:themeShade="80"/>
        <w:sz w:val="18"/>
        <w:szCs w:val="18"/>
      </w:rPr>
      <w:t>1</w:t>
    </w:r>
    <w:r w:rsidRPr="00DB7B00">
      <w:rPr>
        <w:rFonts w:cs="Times New Roman"/>
        <w:color w:val="808080" w:themeColor="background1" w:themeShade="80"/>
        <w:sz w:val="18"/>
        <w:szCs w:val="18"/>
      </w:rPr>
      <w:fldChar w:fldCharType="end"/>
    </w:r>
    <w:r w:rsidRPr="00DB7B00">
      <w:rPr>
        <w:rFonts w:cs="Times New Roman"/>
        <w:color w:val="808080" w:themeColor="background1" w:themeShade="80"/>
        <w:sz w:val="18"/>
        <w:szCs w:val="18"/>
      </w:rPr>
      <w:t xml:space="preserve"> </w:t>
    </w:r>
    <w:r>
      <w:rPr>
        <w:rFonts w:cs="Times New Roman"/>
        <w:color w:val="808080" w:themeColor="background1" w:themeShade="80"/>
        <w:sz w:val="18"/>
        <w:szCs w:val="18"/>
      </w:rPr>
      <w:t>|</w:t>
    </w:r>
    <w:r w:rsidRPr="00DB7B00">
      <w:rPr>
        <w:rFonts w:cs="Times New Roman"/>
        <w:color w:val="808080" w:themeColor="background1" w:themeShade="80"/>
        <w:sz w:val="18"/>
        <w:szCs w:val="18"/>
      </w:rPr>
      <w:t xml:space="preserve"> </w:t>
    </w:r>
    <w:r w:rsidRPr="00DB7B00">
      <w:rPr>
        <w:rFonts w:cs="Times New Roman"/>
        <w:color w:val="808080" w:themeColor="background1" w:themeShade="80"/>
        <w:sz w:val="18"/>
        <w:szCs w:val="18"/>
      </w:rPr>
      <w:fldChar w:fldCharType="begin"/>
    </w:r>
    <w:r w:rsidRPr="00DB7B00">
      <w:rPr>
        <w:rFonts w:cs="Times New Roman"/>
        <w:color w:val="808080" w:themeColor="background1" w:themeShade="80"/>
        <w:sz w:val="18"/>
        <w:szCs w:val="18"/>
      </w:rPr>
      <w:instrText xml:space="preserve"> NUMPAGES </w:instrText>
    </w:r>
    <w:r w:rsidRPr="00DB7B00">
      <w:rPr>
        <w:rFonts w:cs="Times New Roman"/>
        <w:color w:val="808080" w:themeColor="background1" w:themeShade="80"/>
        <w:sz w:val="18"/>
        <w:szCs w:val="18"/>
      </w:rPr>
      <w:fldChar w:fldCharType="separate"/>
    </w:r>
    <w:r w:rsidR="00A11622">
      <w:rPr>
        <w:rFonts w:cs="Times New Roman"/>
        <w:noProof/>
        <w:color w:val="808080" w:themeColor="background1" w:themeShade="80"/>
        <w:sz w:val="18"/>
        <w:szCs w:val="18"/>
      </w:rPr>
      <w:t>2</w:t>
    </w:r>
    <w:r w:rsidRPr="00DB7B00">
      <w:rPr>
        <w:rFonts w:cs="Times New Roman"/>
        <w:color w:val="808080" w:themeColor="background1" w:themeShade="80"/>
        <w:sz w:val="18"/>
        <w:szCs w:val="18"/>
      </w:rPr>
      <w:fldChar w:fldCharType="end"/>
    </w:r>
  </w:p>
  <w:p w14:paraId="5186B784" w14:textId="77777777" w:rsidR="004E1F8F" w:rsidRPr="00324E0A" w:rsidRDefault="004E1F8F" w:rsidP="00170CD4">
    <w:pPr>
      <w:pStyle w:val="Piedepgina"/>
      <w:tabs>
        <w:tab w:val="clear" w:pos="8504"/>
      </w:tabs>
      <w:spacing w:after="0" w:line="240" w:lineRule="auto"/>
      <w:ind w:left="-1701" w:right="-1004"/>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9CF5B" w14:textId="77777777" w:rsidR="001A5433" w:rsidRDefault="001A5433" w:rsidP="00DA1912">
      <w:r>
        <w:separator/>
      </w:r>
    </w:p>
  </w:footnote>
  <w:footnote w:type="continuationSeparator" w:id="0">
    <w:p w14:paraId="5B8F9AFD" w14:textId="77777777" w:rsidR="001A5433" w:rsidRDefault="001A5433" w:rsidP="00DA1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0BE6E" w14:textId="77777777" w:rsidR="004E1F8F" w:rsidRDefault="004E1F8F" w:rsidP="00504C98">
    <w:pPr>
      <w:pBdr>
        <w:bottom w:val="single" w:sz="12" w:space="1" w:color="CC006A"/>
      </w:pBdr>
      <w:spacing w:after="0" w:line="240" w:lineRule="auto"/>
      <w:ind w:right="-573" w:hanging="567"/>
      <w:jc w:val="left"/>
    </w:pPr>
    <w:r>
      <w:rPr>
        <w:noProof/>
        <w:lang w:eastAsia="es-ES"/>
      </w:rPr>
      <w:drawing>
        <wp:inline distT="0" distB="0" distL="0" distR="0" wp14:anchorId="011C540C" wp14:editId="36D110F3">
          <wp:extent cx="1885732" cy="60979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_ASUFIN_LOGO_NUEVO_hor.jpg"/>
                  <pic:cNvPicPr/>
                </pic:nvPicPr>
                <pic:blipFill>
                  <a:blip r:embed="rId1">
                    <a:extLst>
                      <a:ext uri="{28A0092B-C50C-407E-A947-70E740481C1C}">
                        <a14:useLocalDpi xmlns:a14="http://schemas.microsoft.com/office/drawing/2010/main" val="0"/>
                      </a:ext>
                    </a:extLst>
                  </a:blip>
                  <a:stretch>
                    <a:fillRect/>
                  </a:stretch>
                </pic:blipFill>
                <pic:spPr>
                  <a:xfrm>
                    <a:off x="0" y="0"/>
                    <a:ext cx="1885732" cy="609795"/>
                  </a:xfrm>
                  <a:prstGeom prst="rect">
                    <a:avLst/>
                  </a:prstGeom>
                </pic:spPr>
              </pic:pic>
            </a:graphicData>
          </a:graphic>
        </wp:inline>
      </w:drawing>
    </w:r>
    <w:r>
      <w:tab/>
    </w:r>
    <w:r>
      <w:tab/>
    </w:r>
    <w:r>
      <w:tab/>
    </w:r>
    <w:r>
      <w:tab/>
    </w:r>
    <w:r>
      <w:tab/>
    </w:r>
    <w:r>
      <w:tab/>
    </w:r>
    <w:r>
      <w:tab/>
    </w:r>
    <w:r>
      <w:tab/>
    </w:r>
    <w:r>
      <w:tab/>
    </w:r>
    <w:r>
      <w:rPr>
        <w:b/>
        <w:noProof/>
        <w:lang w:eastAsia="es-ES"/>
      </w:rPr>
      <w:drawing>
        <wp:inline distT="0" distB="0" distL="0" distR="0" wp14:anchorId="0D8403C9" wp14:editId="1C91FC3B">
          <wp:extent cx="576000" cy="576000"/>
          <wp:effectExtent l="0" t="0" r="8255"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da_2020-2030.pn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p w14:paraId="5F3648F4" w14:textId="77777777" w:rsidR="004E1F8F" w:rsidRPr="00E11B95" w:rsidRDefault="004E1F8F" w:rsidP="00504C98">
    <w:pPr>
      <w:pBdr>
        <w:bottom w:val="single" w:sz="12" w:space="1" w:color="CC006A"/>
      </w:pBdr>
      <w:spacing w:after="0" w:line="240" w:lineRule="auto"/>
      <w:ind w:right="-573" w:hanging="567"/>
      <w:jc w:val="lef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C7F85"/>
    <w:multiLevelType w:val="hybridMultilevel"/>
    <w:tmpl w:val="858A9AE6"/>
    <w:lvl w:ilvl="0" w:tplc="EFFC1510">
      <w:start w:val="1"/>
      <w:numFmt w:val="decimal"/>
      <w:lvlText w:val="%1."/>
      <w:lvlJc w:val="left"/>
      <w:pPr>
        <w:ind w:left="866" w:hanging="440"/>
      </w:pPr>
      <w:rPr>
        <w:rFonts w:hint="default"/>
        <w:color w:val="000000"/>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15:restartNumberingAfterBreak="0">
    <w:nsid w:val="2892167A"/>
    <w:multiLevelType w:val="hybridMultilevel"/>
    <w:tmpl w:val="09A67704"/>
    <w:lvl w:ilvl="0" w:tplc="34EED722">
      <w:start w:val="1"/>
      <w:numFmt w:val="bullet"/>
      <w:pStyle w:val="Ttulo3"/>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BD53C6A"/>
    <w:multiLevelType w:val="hybridMultilevel"/>
    <w:tmpl w:val="D9F0768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AB550C"/>
    <w:multiLevelType w:val="hybridMultilevel"/>
    <w:tmpl w:val="E182E26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B95367"/>
    <w:multiLevelType w:val="hybridMultilevel"/>
    <w:tmpl w:val="D73CAD9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B0F3E6E"/>
    <w:multiLevelType w:val="hybridMultilevel"/>
    <w:tmpl w:val="8D44D4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F743E82"/>
    <w:multiLevelType w:val="hybridMultilevel"/>
    <w:tmpl w:val="C79418BE"/>
    <w:lvl w:ilvl="0" w:tplc="A8A07EE0">
      <w:numFmt w:val="bullet"/>
      <w:lvlText w:val="-"/>
      <w:lvlJc w:val="left"/>
      <w:pPr>
        <w:ind w:left="720" w:hanging="360"/>
      </w:pPr>
      <w:rPr>
        <w:rFonts w:ascii="Open Sans" w:eastAsiaTheme="minorHAnsi" w:hAnsi="Open San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B5A2015"/>
    <w:multiLevelType w:val="hybridMultilevel"/>
    <w:tmpl w:val="9C24829A"/>
    <w:lvl w:ilvl="0" w:tplc="502623B8">
      <w:numFmt w:val="bullet"/>
      <w:lvlText w:val="-"/>
      <w:lvlJc w:val="left"/>
      <w:pPr>
        <w:ind w:left="720" w:hanging="360"/>
      </w:pPr>
      <w:rPr>
        <w:rFonts w:ascii="Open Sans" w:eastAsiaTheme="minorHAnsi" w:hAnsi="Open Sans" w:cs="Open San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832332252">
    <w:abstractNumId w:val="1"/>
  </w:num>
  <w:num w:numId="2" w16cid:durableId="1940792646">
    <w:abstractNumId w:val="0"/>
  </w:num>
  <w:num w:numId="3" w16cid:durableId="1033002328">
    <w:abstractNumId w:val="6"/>
  </w:num>
  <w:num w:numId="4" w16cid:durableId="594097595">
    <w:abstractNumId w:val="4"/>
  </w:num>
  <w:num w:numId="5" w16cid:durableId="3408259">
    <w:abstractNumId w:val="2"/>
  </w:num>
  <w:num w:numId="6" w16cid:durableId="376245794">
    <w:abstractNumId w:val="3"/>
  </w:num>
  <w:num w:numId="7" w16cid:durableId="980231029">
    <w:abstractNumId w:val="5"/>
  </w:num>
  <w:num w:numId="8" w16cid:durableId="103372527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C45"/>
    <w:rsid w:val="000018A3"/>
    <w:rsid w:val="0000321C"/>
    <w:rsid w:val="000179C1"/>
    <w:rsid w:val="00020F4B"/>
    <w:rsid w:val="00022709"/>
    <w:rsid w:val="00026182"/>
    <w:rsid w:val="00026B12"/>
    <w:rsid w:val="00031393"/>
    <w:rsid w:val="00040262"/>
    <w:rsid w:val="000418DF"/>
    <w:rsid w:val="000430D6"/>
    <w:rsid w:val="0004569B"/>
    <w:rsid w:val="00045B4D"/>
    <w:rsid w:val="00051438"/>
    <w:rsid w:val="000554DA"/>
    <w:rsid w:val="00055BEE"/>
    <w:rsid w:val="00064764"/>
    <w:rsid w:val="00067976"/>
    <w:rsid w:val="000729D9"/>
    <w:rsid w:val="00073248"/>
    <w:rsid w:val="00076053"/>
    <w:rsid w:val="00087699"/>
    <w:rsid w:val="0009348A"/>
    <w:rsid w:val="000939E5"/>
    <w:rsid w:val="000962F3"/>
    <w:rsid w:val="00097871"/>
    <w:rsid w:val="000B5060"/>
    <w:rsid w:val="000C680D"/>
    <w:rsid w:val="000D1AC6"/>
    <w:rsid w:val="000F0515"/>
    <w:rsid w:val="000F137F"/>
    <w:rsid w:val="000F241B"/>
    <w:rsid w:val="000F3878"/>
    <w:rsid w:val="000F4044"/>
    <w:rsid w:val="000F7F65"/>
    <w:rsid w:val="00100AD4"/>
    <w:rsid w:val="00104E57"/>
    <w:rsid w:val="0010569D"/>
    <w:rsid w:val="00106DB3"/>
    <w:rsid w:val="00107817"/>
    <w:rsid w:val="00123024"/>
    <w:rsid w:val="0012449F"/>
    <w:rsid w:val="0012533F"/>
    <w:rsid w:val="00126E0C"/>
    <w:rsid w:val="00130C5D"/>
    <w:rsid w:val="001316E5"/>
    <w:rsid w:val="00135487"/>
    <w:rsid w:val="00141662"/>
    <w:rsid w:val="00141F84"/>
    <w:rsid w:val="001452EF"/>
    <w:rsid w:val="00156F43"/>
    <w:rsid w:val="00157409"/>
    <w:rsid w:val="00157DE6"/>
    <w:rsid w:val="0016037E"/>
    <w:rsid w:val="001655EA"/>
    <w:rsid w:val="00170CD4"/>
    <w:rsid w:val="0017482D"/>
    <w:rsid w:val="00176727"/>
    <w:rsid w:val="00190858"/>
    <w:rsid w:val="00195AC4"/>
    <w:rsid w:val="001A3C9A"/>
    <w:rsid w:val="001A4359"/>
    <w:rsid w:val="001A5433"/>
    <w:rsid w:val="001A7E60"/>
    <w:rsid w:val="001B1264"/>
    <w:rsid w:val="001B1919"/>
    <w:rsid w:val="001B1F57"/>
    <w:rsid w:val="001B257B"/>
    <w:rsid w:val="001B6BFD"/>
    <w:rsid w:val="001C389E"/>
    <w:rsid w:val="001C6374"/>
    <w:rsid w:val="001D6979"/>
    <w:rsid w:val="001E33EE"/>
    <w:rsid w:val="001E6498"/>
    <w:rsid w:val="001F7304"/>
    <w:rsid w:val="00203E19"/>
    <w:rsid w:val="00213555"/>
    <w:rsid w:val="00213C7A"/>
    <w:rsid w:val="00214C18"/>
    <w:rsid w:val="002160C9"/>
    <w:rsid w:val="00220A4E"/>
    <w:rsid w:val="00222AA3"/>
    <w:rsid w:val="00224497"/>
    <w:rsid w:val="00225940"/>
    <w:rsid w:val="00232955"/>
    <w:rsid w:val="002429EC"/>
    <w:rsid w:val="00251F18"/>
    <w:rsid w:val="002524E1"/>
    <w:rsid w:val="00252F98"/>
    <w:rsid w:val="00255040"/>
    <w:rsid w:val="0025772D"/>
    <w:rsid w:val="0026239E"/>
    <w:rsid w:val="002671BF"/>
    <w:rsid w:val="002702F6"/>
    <w:rsid w:val="002760B7"/>
    <w:rsid w:val="00277FBC"/>
    <w:rsid w:val="00285FC2"/>
    <w:rsid w:val="00295DDE"/>
    <w:rsid w:val="002A25EE"/>
    <w:rsid w:val="002A3FB4"/>
    <w:rsid w:val="002B3C25"/>
    <w:rsid w:val="002B45AA"/>
    <w:rsid w:val="002C0D69"/>
    <w:rsid w:val="002C202A"/>
    <w:rsid w:val="002C3FCA"/>
    <w:rsid w:val="002C5027"/>
    <w:rsid w:val="002C539E"/>
    <w:rsid w:val="002C703E"/>
    <w:rsid w:val="002C7D80"/>
    <w:rsid w:val="002D45C8"/>
    <w:rsid w:val="002E25BE"/>
    <w:rsid w:val="002E657A"/>
    <w:rsid w:val="002E7016"/>
    <w:rsid w:val="002F154C"/>
    <w:rsid w:val="002F305F"/>
    <w:rsid w:val="002F68E1"/>
    <w:rsid w:val="00307520"/>
    <w:rsid w:val="00312F93"/>
    <w:rsid w:val="0031433D"/>
    <w:rsid w:val="003237AF"/>
    <w:rsid w:val="00324E0A"/>
    <w:rsid w:val="0033107E"/>
    <w:rsid w:val="003314F9"/>
    <w:rsid w:val="0033361A"/>
    <w:rsid w:val="00346D0D"/>
    <w:rsid w:val="00355F9D"/>
    <w:rsid w:val="0035660E"/>
    <w:rsid w:val="00356AC7"/>
    <w:rsid w:val="00363BCC"/>
    <w:rsid w:val="00363C00"/>
    <w:rsid w:val="00373E8C"/>
    <w:rsid w:val="0038578B"/>
    <w:rsid w:val="003A1DC0"/>
    <w:rsid w:val="003A26D8"/>
    <w:rsid w:val="003A2748"/>
    <w:rsid w:val="003A6B82"/>
    <w:rsid w:val="003B1CD7"/>
    <w:rsid w:val="003B6B47"/>
    <w:rsid w:val="003C4907"/>
    <w:rsid w:val="003C626F"/>
    <w:rsid w:val="003D3ECB"/>
    <w:rsid w:val="003E12DA"/>
    <w:rsid w:val="003E46B8"/>
    <w:rsid w:val="003F6788"/>
    <w:rsid w:val="003F788B"/>
    <w:rsid w:val="004012F3"/>
    <w:rsid w:val="00401A70"/>
    <w:rsid w:val="00402568"/>
    <w:rsid w:val="004026E9"/>
    <w:rsid w:val="004030ED"/>
    <w:rsid w:val="00403390"/>
    <w:rsid w:val="00404335"/>
    <w:rsid w:val="00410316"/>
    <w:rsid w:val="00436E8C"/>
    <w:rsid w:val="004371CD"/>
    <w:rsid w:val="00461FC3"/>
    <w:rsid w:val="004668ED"/>
    <w:rsid w:val="00467B82"/>
    <w:rsid w:val="0047410D"/>
    <w:rsid w:val="00490DD2"/>
    <w:rsid w:val="004A6E82"/>
    <w:rsid w:val="004B04F1"/>
    <w:rsid w:val="004B6AAC"/>
    <w:rsid w:val="004C2D95"/>
    <w:rsid w:val="004D02D9"/>
    <w:rsid w:val="004D19BF"/>
    <w:rsid w:val="004D1ACD"/>
    <w:rsid w:val="004E1F8F"/>
    <w:rsid w:val="004E2B49"/>
    <w:rsid w:val="004E3E5D"/>
    <w:rsid w:val="004E4B8D"/>
    <w:rsid w:val="004F02B3"/>
    <w:rsid w:val="004F08C9"/>
    <w:rsid w:val="00504C98"/>
    <w:rsid w:val="00507026"/>
    <w:rsid w:val="00510C45"/>
    <w:rsid w:val="0051232D"/>
    <w:rsid w:val="00515063"/>
    <w:rsid w:val="005177D0"/>
    <w:rsid w:val="00524DDB"/>
    <w:rsid w:val="00531FCB"/>
    <w:rsid w:val="005351F2"/>
    <w:rsid w:val="00540A32"/>
    <w:rsid w:val="00540E08"/>
    <w:rsid w:val="00542124"/>
    <w:rsid w:val="00542138"/>
    <w:rsid w:val="00545EAB"/>
    <w:rsid w:val="00546A16"/>
    <w:rsid w:val="005524D9"/>
    <w:rsid w:val="00552941"/>
    <w:rsid w:val="0056459D"/>
    <w:rsid w:val="00564931"/>
    <w:rsid w:val="00570E04"/>
    <w:rsid w:val="005957BB"/>
    <w:rsid w:val="005A63FD"/>
    <w:rsid w:val="005C069B"/>
    <w:rsid w:val="005C6550"/>
    <w:rsid w:val="005E4983"/>
    <w:rsid w:val="005E746A"/>
    <w:rsid w:val="005E78C5"/>
    <w:rsid w:val="005F651B"/>
    <w:rsid w:val="00606E98"/>
    <w:rsid w:val="0061190E"/>
    <w:rsid w:val="006126D5"/>
    <w:rsid w:val="0062581D"/>
    <w:rsid w:val="0064690F"/>
    <w:rsid w:val="00653019"/>
    <w:rsid w:val="00654C25"/>
    <w:rsid w:val="00666377"/>
    <w:rsid w:val="006674CD"/>
    <w:rsid w:val="0069539E"/>
    <w:rsid w:val="0069579F"/>
    <w:rsid w:val="006A18D0"/>
    <w:rsid w:val="006A21F6"/>
    <w:rsid w:val="006B4774"/>
    <w:rsid w:val="006B4EC3"/>
    <w:rsid w:val="006C2528"/>
    <w:rsid w:val="006C2865"/>
    <w:rsid w:val="006C69E1"/>
    <w:rsid w:val="006D2668"/>
    <w:rsid w:val="006D441E"/>
    <w:rsid w:val="006D5168"/>
    <w:rsid w:val="006D7CC0"/>
    <w:rsid w:val="006E5555"/>
    <w:rsid w:val="006E704D"/>
    <w:rsid w:val="00703041"/>
    <w:rsid w:val="00707659"/>
    <w:rsid w:val="007127E9"/>
    <w:rsid w:val="00712CB9"/>
    <w:rsid w:val="00747586"/>
    <w:rsid w:val="0075301E"/>
    <w:rsid w:val="00754CCD"/>
    <w:rsid w:val="00756C4A"/>
    <w:rsid w:val="00760CC8"/>
    <w:rsid w:val="007660A3"/>
    <w:rsid w:val="007719BF"/>
    <w:rsid w:val="00782514"/>
    <w:rsid w:val="007856E0"/>
    <w:rsid w:val="00795E0D"/>
    <w:rsid w:val="007A0C06"/>
    <w:rsid w:val="007A4A87"/>
    <w:rsid w:val="007B5C0F"/>
    <w:rsid w:val="007B77E2"/>
    <w:rsid w:val="007E4261"/>
    <w:rsid w:val="007F133F"/>
    <w:rsid w:val="007F29BD"/>
    <w:rsid w:val="007F5439"/>
    <w:rsid w:val="008010B6"/>
    <w:rsid w:val="0080521E"/>
    <w:rsid w:val="0081026F"/>
    <w:rsid w:val="00814FE2"/>
    <w:rsid w:val="0081731A"/>
    <w:rsid w:val="00825954"/>
    <w:rsid w:val="00826DF6"/>
    <w:rsid w:val="008271AA"/>
    <w:rsid w:val="00832A2F"/>
    <w:rsid w:val="00833CF4"/>
    <w:rsid w:val="00834C7E"/>
    <w:rsid w:val="00837D6B"/>
    <w:rsid w:val="0084187A"/>
    <w:rsid w:val="008431C0"/>
    <w:rsid w:val="00846A3B"/>
    <w:rsid w:val="00860253"/>
    <w:rsid w:val="0086243B"/>
    <w:rsid w:val="008737B7"/>
    <w:rsid w:val="00890137"/>
    <w:rsid w:val="008903BC"/>
    <w:rsid w:val="0089258D"/>
    <w:rsid w:val="008A3874"/>
    <w:rsid w:val="008A5411"/>
    <w:rsid w:val="008B586A"/>
    <w:rsid w:val="008B69DE"/>
    <w:rsid w:val="008C1755"/>
    <w:rsid w:val="008C1F4D"/>
    <w:rsid w:val="008C3F36"/>
    <w:rsid w:val="008C68E7"/>
    <w:rsid w:val="008D2511"/>
    <w:rsid w:val="008D38ED"/>
    <w:rsid w:val="008E0537"/>
    <w:rsid w:val="008E5A0C"/>
    <w:rsid w:val="008F31F4"/>
    <w:rsid w:val="00902D8E"/>
    <w:rsid w:val="00917110"/>
    <w:rsid w:val="00917342"/>
    <w:rsid w:val="00931056"/>
    <w:rsid w:val="0093372D"/>
    <w:rsid w:val="0093569F"/>
    <w:rsid w:val="00945FA1"/>
    <w:rsid w:val="00955084"/>
    <w:rsid w:val="0096287D"/>
    <w:rsid w:val="00962FD7"/>
    <w:rsid w:val="00963C16"/>
    <w:rsid w:val="00970966"/>
    <w:rsid w:val="00991F0B"/>
    <w:rsid w:val="00992FA6"/>
    <w:rsid w:val="009943BB"/>
    <w:rsid w:val="0099500E"/>
    <w:rsid w:val="009A550C"/>
    <w:rsid w:val="009B740D"/>
    <w:rsid w:val="009C1485"/>
    <w:rsid w:val="009C5FDB"/>
    <w:rsid w:val="009C6289"/>
    <w:rsid w:val="009D1973"/>
    <w:rsid w:val="009E0895"/>
    <w:rsid w:val="009F0719"/>
    <w:rsid w:val="009F2434"/>
    <w:rsid w:val="00A03B01"/>
    <w:rsid w:val="00A11622"/>
    <w:rsid w:val="00A126B4"/>
    <w:rsid w:val="00A1342A"/>
    <w:rsid w:val="00A27731"/>
    <w:rsid w:val="00A40D0C"/>
    <w:rsid w:val="00A40EEC"/>
    <w:rsid w:val="00A41C96"/>
    <w:rsid w:val="00A47618"/>
    <w:rsid w:val="00A62244"/>
    <w:rsid w:val="00A62913"/>
    <w:rsid w:val="00A65106"/>
    <w:rsid w:val="00A7003B"/>
    <w:rsid w:val="00A721B4"/>
    <w:rsid w:val="00A72D79"/>
    <w:rsid w:val="00A734A0"/>
    <w:rsid w:val="00A73C1C"/>
    <w:rsid w:val="00A758A0"/>
    <w:rsid w:val="00A76070"/>
    <w:rsid w:val="00A8324D"/>
    <w:rsid w:val="00A86049"/>
    <w:rsid w:val="00A92F2A"/>
    <w:rsid w:val="00A93CBE"/>
    <w:rsid w:val="00A9568B"/>
    <w:rsid w:val="00AA192F"/>
    <w:rsid w:val="00AA6CF1"/>
    <w:rsid w:val="00AA7A07"/>
    <w:rsid w:val="00AB6AF4"/>
    <w:rsid w:val="00AC1B01"/>
    <w:rsid w:val="00AD3C4F"/>
    <w:rsid w:val="00AF166B"/>
    <w:rsid w:val="00AF3A04"/>
    <w:rsid w:val="00B06112"/>
    <w:rsid w:val="00B21DB2"/>
    <w:rsid w:val="00B258AC"/>
    <w:rsid w:val="00B25B59"/>
    <w:rsid w:val="00B33089"/>
    <w:rsid w:val="00B37BF5"/>
    <w:rsid w:val="00B400F6"/>
    <w:rsid w:val="00B44C0E"/>
    <w:rsid w:val="00B51E73"/>
    <w:rsid w:val="00B67B13"/>
    <w:rsid w:val="00B7070A"/>
    <w:rsid w:val="00B70FA4"/>
    <w:rsid w:val="00B714DF"/>
    <w:rsid w:val="00B74F07"/>
    <w:rsid w:val="00B751DD"/>
    <w:rsid w:val="00B80FCC"/>
    <w:rsid w:val="00B8192B"/>
    <w:rsid w:val="00B91785"/>
    <w:rsid w:val="00B93001"/>
    <w:rsid w:val="00BA2946"/>
    <w:rsid w:val="00BA59B1"/>
    <w:rsid w:val="00BB0106"/>
    <w:rsid w:val="00BB0923"/>
    <w:rsid w:val="00BB188C"/>
    <w:rsid w:val="00BB5659"/>
    <w:rsid w:val="00BC05D4"/>
    <w:rsid w:val="00BC1D82"/>
    <w:rsid w:val="00BC4406"/>
    <w:rsid w:val="00BD72D8"/>
    <w:rsid w:val="00BE18EA"/>
    <w:rsid w:val="00BE5D9D"/>
    <w:rsid w:val="00BE759A"/>
    <w:rsid w:val="00BF4089"/>
    <w:rsid w:val="00BF4CB3"/>
    <w:rsid w:val="00BF4D14"/>
    <w:rsid w:val="00BF5C56"/>
    <w:rsid w:val="00C01D94"/>
    <w:rsid w:val="00C01EC2"/>
    <w:rsid w:val="00C02038"/>
    <w:rsid w:val="00C038E2"/>
    <w:rsid w:val="00C114D8"/>
    <w:rsid w:val="00C11FA3"/>
    <w:rsid w:val="00C1292E"/>
    <w:rsid w:val="00C16E12"/>
    <w:rsid w:val="00C17649"/>
    <w:rsid w:val="00C21515"/>
    <w:rsid w:val="00C2474C"/>
    <w:rsid w:val="00C32059"/>
    <w:rsid w:val="00C32D9F"/>
    <w:rsid w:val="00C37EDD"/>
    <w:rsid w:val="00C50E93"/>
    <w:rsid w:val="00C62FE3"/>
    <w:rsid w:val="00C70BC0"/>
    <w:rsid w:val="00C71487"/>
    <w:rsid w:val="00C73A5E"/>
    <w:rsid w:val="00C74934"/>
    <w:rsid w:val="00C77C47"/>
    <w:rsid w:val="00C8435F"/>
    <w:rsid w:val="00C86D44"/>
    <w:rsid w:val="00CA641E"/>
    <w:rsid w:val="00CA655F"/>
    <w:rsid w:val="00CB5A5C"/>
    <w:rsid w:val="00CD1282"/>
    <w:rsid w:val="00CD68D5"/>
    <w:rsid w:val="00CD6E68"/>
    <w:rsid w:val="00CF2917"/>
    <w:rsid w:val="00D00BC9"/>
    <w:rsid w:val="00D02863"/>
    <w:rsid w:val="00D12172"/>
    <w:rsid w:val="00D20E74"/>
    <w:rsid w:val="00D22DCD"/>
    <w:rsid w:val="00D23802"/>
    <w:rsid w:val="00D24398"/>
    <w:rsid w:val="00D256A7"/>
    <w:rsid w:val="00D334D1"/>
    <w:rsid w:val="00D43394"/>
    <w:rsid w:val="00D466D4"/>
    <w:rsid w:val="00D6032E"/>
    <w:rsid w:val="00D62D83"/>
    <w:rsid w:val="00D65B13"/>
    <w:rsid w:val="00D65F1A"/>
    <w:rsid w:val="00D807CF"/>
    <w:rsid w:val="00D849A9"/>
    <w:rsid w:val="00D91998"/>
    <w:rsid w:val="00D971F7"/>
    <w:rsid w:val="00DA1912"/>
    <w:rsid w:val="00DA5136"/>
    <w:rsid w:val="00DA65B9"/>
    <w:rsid w:val="00DC4E45"/>
    <w:rsid w:val="00DD348C"/>
    <w:rsid w:val="00DE1600"/>
    <w:rsid w:val="00DE3F7F"/>
    <w:rsid w:val="00DE64D1"/>
    <w:rsid w:val="00DF02FB"/>
    <w:rsid w:val="00DF47F9"/>
    <w:rsid w:val="00DF5AEE"/>
    <w:rsid w:val="00DF62B9"/>
    <w:rsid w:val="00E00AC3"/>
    <w:rsid w:val="00E062AA"/>
    <w:rsid w:val="00E11B95"/>
    <w:rsid w:val="00E135E2"/>
    <w:rsid w:val="00E179A0"/>
    <w:rsid w:val="00E17BB1"/>
    <w:rsid w:val="00E22440"/>
    <w:rsid w:val="00E31A91"/>
    <w:rsid w:val="00E35692"/>
    <w:rsid w:val="00E35FC2"/>
    <w:rsid w:val="00E3691A"/>
    <w:rsid w:val="00E36E16"/>
    <w:rsid w:val="00E54141"/>
    <w:rsid w:val="00E555A2"/>
    <w:rsid w:val="00E61C84"/>
    <w:rsid w:val="00E82FFA"/>
    <w:rsid w:val="00E84DAC"/>
    <w:rsid w:val="00E86D73"/>
    <w:rsid w:val="00E959FD"/>
    <w:rsid w:val="00E96730"/>
    <w:rsid w:val="00EA087A"/>
    <w:rsid w:val="00EA6117"/>
    <w:rsid w:val="00EB6C8B"/>
    <w:rsid w:val="00EC0B9B"/>
    <w:rsid w:val="00EC71C3"/>
    <w:rsid w:val="00EC7E19"/>
    <w:rsid w:val="00ED72C5"/>
    <w:rsid w:val="00EE0080"/>
    <w:rsid w:val="00EE09B8"/>
    <w:rsid w:val="00EE5967"/>
    <w:rsid w:val="00EF4AE6"/>
    <w:rsid w:val="00F021F0"/>
    <w:rsid w:val="00F03EE0"/>
    <w:rsid w:val="00F04BAE"/>
    <w:rsid w:val="00F05453"/>
    <w:rsid w:val="00F133D9"/>
    <w:rsid w:val="00F17D00"/>
    <w:rsid w:val="00F244A8"/>
    <w:rsid w:val="00F3251F"/>
    <w:rsid w:val="00F36D04"/>
    <w:rsid w:val="00F41A31"/>
    <w:rsid w:val="00F45512"/>
    <w:rsid w:val="00F47F3A"/>
    <w:rsid w:val="00F532F2"/>
    <w:rsid w:val="00F54FA2"/>
    <w:rsid w:val="00F60AE1"/>
    <w:rsid w:val="00F624F9"/>
    <w:rsid w:val="00F63222"/>
    <w:rsid w:val="00F651A0"/>
    <w:rsid w:val="00F668C8"/>
    <w:rsid w:val="00F702E9"/>
    <w:rsid w:val="00F828BC"/>
    <w:rsid w:val="00F85595"/>
    <w:rsid w:val="00F8776B"/>
    <w:rsid w:val="00F902CF"/>
    <w:rsid w:val="00F90B52"/>
    <w:rsid w:val="00FA3FF4"/>
    <w:rsid w:val="00FA59D3"/>
    <w:rsid w:val="00FA7FC0"/>
    <w:rsid w:val="00FB32FE"/>
    <w:rsid w:val="00FB6ED5"/>
    <w:rsid w:val="00FC0414"/>
    <w:rsid w:val="00FC7F0A"/>
    <w:rsid w:val="00FD4917"/>
    <w:rsid w:val="00FD7A8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A555C7"/>
  <w14:defaultImageDpi w14:val="300"/>
  <w15:docId w15:val="{32B9C125-8D36-0648-AD1E-0C705D60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BFD"/>
    <w:pPr>
      <w:spacing w:after="160" w:line="259" w:lineRule="auto"/>
      <w:jc w:val="both"/>
    </w:pPr>
    <w:rPr>
      <w:rFonts w:ascii="Open Sans" w:eastAsiaTheme="minorHAnsi" w:hAnsi="Open Sans"/>
      <w:sz w:val="22"/>
      <w:szCs w:val="22"/>
      <w:lang w:val="es-ES" w:eastAsia="en-US"/>
    </w:rPr>
  </w:style>
  <w:style w:type="paragraph" w:styleId="Ttulo1">
    <w:name w:val="heading 1"/>
    <w:basedOn w:val="Normal"/>
    <w:next w:val="Normal"/>
    <w:link w:val="Ttulo1Car"/>
    <w:autoRedefine/>
    <w:qFormat/>
    <w:rsid w:val="003314F9"/>
    <w:pPr>
      <w:keepNext/>
      <w:suppressAutoHyphens/>
      <w:spacing w:line="240" w:lineRule="auto"/>
      <w:jc w:val="center"/>
      <w:outlineLvl w:val="0"/>
    </w:pPr>
    <w:rPr>
      <w:rFonts w:ascii="Montserrat" w:eastAsia="Times New Roman" w:hAnsi="Montserrat" w:cs="Arial"/>
      <w:b/>
      <w:bCs/>
      <w:sz w:val="28"/>
      <w:lang w:eastAsia="ar-SA"/>
    </w:rPr>
  </w:style>
  <w:style w:type="paragraph" w:styleId="Ttulo2">
    <w:name w:val="heading 2"/>
    <w:basedOn w:val="Ttulo1"/>
    <w:next w:val="Normal"/>
    <w:link w:val="Ttulo2Car"/>
    <w:autoRedefine/>
    <w:uiPriority w:val="9"/>
    <w:unhideWhenUsed/>
    <w:qFormat/>
    <w:rsid w:val="006674CD"/>
    <w:pPr>
      <w:keepLines/>
      <w:spacing w:before="200"/>
      <w:outlineLvl w:val="1"/>
    </w:pPr>
    <w:rPr>
      <w:rFonts w:eastAsiaTheme="majorEastAsia" w:cstheme="majorBidi"/>
      <w:b w:val="0"/>
      <w:bCs w:val="0"/>
      <w:color w:val="595959" w:themeColor="text1" w:themeTint="A6"/>
      <w:sz w:val="24"/>
    </w:rPr>
  </w:style>
  <w:style w:type="paragraph" w:styleId="Ttulo3">
    <w:name w:val="heading 3"/>
    <w:basedOn w:val="Normal"/>
    <w:next w:val="Normal"/>
    <w:link w:val="Ttulo3Car"/>
    <w:uiPriority w:val="9"/>
    <w:unhideWhenUsed/>
    <w:qFormat/>
    <w:rsid w:val="006D5168"/>
    <w:pPr>
      <w:keepNext/>
      <w:keepLines/>
      <w:numPr>
        <w:numId w:val="1"/>
      </w:numPr>
      <w:spacing w:before="200" w:line="360" w:lineRule="auto"/>
      <w:outlineLvl w:val="2"/>
    </w:pPr>
    <w:rPr>
      <w:rFonts w:ascii="Montserrat" w:eastAsia="Malgun Gothic Semilight" w:hAnsi="Montserrat" w:cs="Malgun Gothic Semilight"/>
      <w:b/>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314F9"/>
    <w:rPr>
      <w:rFonts w:ascii="Montserrat" w:eastAsia="Times New Roman" w:hAnsi="Montserrat" w:cs="Arial"/>
      <w:b/>
      <w:bCs/>
      <w:sz w:val="28"/>
      <w:szCs w:val="22"/>
      <w:lang w:val="es-ES" w:eastAsia="ar-SA"/>
    </w:rPr>
  </w:style>
  <w:style w:type="paragraph" w:styleId="Encabezado">
    <w:name w:val="header"/>
    <w:basedOn w:val="Normal"/>
    <w:link w:val="EncabezadoCar"/>
    <w:uiPriority w:val="99"/>
    <w:unhideWhenUsed/>
    <w:rsid w:val="00DA1912"/>
    <w:pPr>
      <w:tabs>
        <w:tab w:val="center" w:pos="4252"/>
        <w:tab w:val="right" w:pos="8504"/>
      </w:tabs>
    </w:pPr>
  </w:style>
  <w:style w:type="character" w:customStyle="1" w:styleId="EncabezadoCar">
    <w:name w:val="Encabezado Car"/>
    <w:basedOn w:val="Fuentedeprrafopredeter"/>
    <w:link w:val="Encabezado"/>
    <w:uiPriority w:val="99"/>
    <w:rsid w:val="00DA1912"/>
  </w:style>
  <w:style w:type="paragraph" w:styleId="Piedepgina">
    <w:name w:val="footer"/>
    <w:basedOn w:val="Normal"/>
    <w:link w:val="PiedepginaCar"/>
    <w:uiPriority w:val="99"/>
    <w:unhideWhenUsed/>
    <w:rsid w:val="00DA1912"/>
    <w:pPr>
      <w:tabs>
        <w:tab w:val="center" w:pos="4252"/>
        <w:tab w:val="right" w:pos="8504"/>
      </w:tabs>
    </w:pPr>
  </w:style>
  <w:style w:type="character" w:customStyle="1" w:styleId="PiedepginaCar">
    <w:name w:val="Pie de página Car"/>
    <w:basedOn w:val="Fuentedeprrafopredeter"/>
    <w:link w:val="Piedepgina"/>
    <w:uiPriority w:val="99"/>
    <w:rsid w:val="00DA1912"/>
  </w:style>
  <w:style w:type="paragraph" w:styleId="Textodeglobo">
    <w:name w:val="Balloon Text"/>
    <w:basedOn w:val="Normal"/>
    <w:link w:val="TextodegloboCar"/>
    <w:uiPriority w:val="99"/>
    <w:semiHidden/>
    <w:unhideWhenUsed/>
    <w:rsid w:val="00DA191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A1912"/>
    <w:rPr>
      <w:rFonts w:ascii="Lucida Grande" w:hAnsi="Lucida Grande" w:cs="Lucida Grande"/>
      <w:sz w:val="18"/>
      <w:szCs w:val="18"/>
    </w:rPr>
  </w:style>
  <w:style w:type="character" w:styleId="Hipervnculo">
    <w:name w:val="Hyperlink"/>
    <w:basedOn w:val="Fuentedeprrafopredeter"/>
    <w:uiPriority w:val="99"/>
    <w:unhideWhenUsed/>
    <w:rsid w:val="00DA1912"/>
    <w:rPr>
      <w:color w:val="0000FF" w:themeColor="hyperlink"/>
      <w:u w:val="single"/>
    </w:rPr>
  </w:style>
  <w:style w:type="paragraph" w:styleId="Prrafodelista">
    <w:name w:val="List Paragraph"/>
    <w:basedOn w:val="Normal"/>
    <w:uiPriority w:val="34"/>
    <w:qFormat/>
    <w:rsid w:val="00F04BAE"/>
    <w:pPr>
      <w:ind w:left="720"/>
      <w:contextualSpacing/>
    </w:pPr>
  </w:style>
  <w:style w:type="character" w:customStyle="1" w:styleId="estilo111">
    <w:name w:val="estilo111"/>
    <w:rsid w:val="00756C4A"/>
    <w:rPr>
      <w:color w:val="333333"/>
    </w:rPr>
  </w:style>
  <w:style w:type="paragraph" w:styleId="NormalWeb">
    <w:name w:val="Normal (Web)"/>
    <w:basedOn w:val="Normal"/>
    <w:uiPriority w:val="99"/>
    <w:unhideWhenUsed/>
    <w:rsid w:val="00F828BC"/>
    <w:pPr>
      <w:spacing w:before="100" w:beforeAutospacing="1" w:after="100" w:afterAutospacing="1"/>
    </w:pPr>
    <w:rPr>
      <w:rFonts w:ascii="Times" w:hAnsi="Times" w:cs="Times New Roman"/>
      <w:sz w:val="20"/>
      <w:szCs w:val="20"/>
    </w:rPr>
  </w:style>
  <w:style w:type="paragraph" w:customStyle="1" w:styleId="Default">
    <w:name w:val="Default"/>
    <w:rsid w:val="00570E04"/>
    <w:pPr>
      <w:widowControl w:val="0"/>
      <w:autoSpaceDE w:val="0"/>
      <w:autoSpaceDN w:val="0"/>
      <w:adjustRightInd w:val="0"/>
    </w:pPr>
    <w:rPr>
      <w:rFonts w:ascii="Arial" w:hAnsi="Arial" w:cs="Arial"/>
      <w:color w:val="000000"/>
      <w:lang w:val="es-ES"/>
    </w:rPr>
  </w:style>
  <w:style w:type="table" w:styleId="Tablaconcuadrcula">
    <w:name w:val="Table Grid"/>
    <w:basedOn w:val="Tablanormal"/>
    <w:uiPriority w:val="59"/>
    <w:rsid w:val="00B21D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
    <w:name w:val="Light List"/>
    <w:basedOn w:val="Tablanormal"/>
    <w:uiPriority w:val="61"/>
    <w:rsid w:val="00B70FA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notapie">
    <w:name w:val="footnote text"/>
    <w:basedOn w:val="Normal"/>
    <w:link w:val="TextonotapieCar"/>
    <w:uiPriority w:val="99"/>
    <w:unhideWhenUsed/>
    <w:rsid w:val="00FA7FC0"/>
    <w:rPr>
      <w:rFonts w:ascii="Times New Roman" w:hAnsi="Times New Roman"/>
      <w:sz w:val="20"/>
    </w:rPr>
  </w:style>
  <w:style w:type="character" w:customStyle="1" w:styleId="TextonotapieCar">
    <w:name w:val="Texto nota pie Car"/>
    <w:basedOn w:val="Fuentedeprrafopredeter"/>
    <w:link w:val="Textonotapie"/>
    <w:uiPriority w:val="99"/>
    <w:rsid w:val="00FA7FC0"/>
    <w:rPr>
      <w:rFonts w:ascii="Times New Roman" w:hAnsi="Times New Roman"/>
      <w:sz w:val="20"/>
    </w:rPr>
  </w:style>
  <w:style w:type="character" w:styleId="Refdenotaalpie">
    <w:name w:val="footnote reference"/>
    <w:basedOn w:val="Fuentedeprrafopredeter"/>
    <w:uiPriority w:val="99"/>
    <w:unhideWhenUsed/>
    <w:rsid w:val="00FA7FC0"/>
    <w:rPr>
      <w:vertAlign w:val="superscript"/>
    </w:rPr>
  </w:style>
  <w:style w:type="paragraph" w:styleId="TtuloTDC">
    <w:name w:val="TOC Heading"/>
    <w:basedOn w:val="Ttulo1"/>
    <w:next w:val="Normal"/>
    <w:uiPriority w:val="39"/>
    <w:unhideWhenUsed/>
    <w:qFormat/>
    <w:rsid w:val="00834C7E"/>
    <w:pPr>
      <w:keepLines/>
      <w:suppressAutoHyphens w:val="0"/>
      <w:spacing w:before="480" w:line="276" w:lineRule="auto"/>
      <w:outlineLvl w:val="9"/>
    </w:pPr>
    <w:rPr>
      <w:rFonts w:asciiTheme="majorHAnsi" w:eastAsiaTheme="majorEastAsia" w:hAnsiTheme="majorHAnsi" w:cstheme="majorBidi"/>
      <w:color w:val="365F91" w:themeColor="accent1" w:themeShade="BF"/>
      <w:szCs w:val="28"/>
      <w:lang w:val="es-ES_tradnl" w:eastAsia="es-ES"/>
    </w:rPr>
  </w:style>
  <w:style w:type="paragraph" w:styleId="TDC1">
    <w:name w:val="toc 1"/>
    <w:basedOn w:val="Normal"/>
    <w:next w:val="Normal"/>
    <w:autoRedefine/>
    <w:uiPriority w:val="39"/>
    <w:unhideWhenUsed/>
    <w:rsid w:val="00834C7E"/>
    <w:pPr>
      <w:spacing w:before="120"/>
    </w:pPr>
    <w:rPr>
      <w:rFonts w:asciiTheme="minorHAnsi" w:hAnsiTheme="minorHAnsi"/>
      <w:b/>
    </w:rPr>
  </w:style>
  <w:style w:type="paragraph" w:styleId="TDC2">
    <w:name w:val="toc 2"/>
    <w:basedOn w:val="Normal"/>
    <w:next w:val="Normal"/>
    <w:autoRedefine/>
    <w:uiPriority w:val="39"/>
    <w:unhideWhenUsed/>
    <w:rsid w:val="00834C7E"/>
    <w:pPr>
      <w:ind w:left="240"/>
    </w:pPr>
    <w:rPr>
      <w:rFonts w:asciiTheme="minorHAnsi" w:hAnsiTheme="minorHAnsi"/>
      <w:b/>
    </w:rPr>
  </w:style>
  <w:style w:type="paragraph" w:styleId="TDC3">
    <w:name w:val="toc 3"/>
    <w:basedOn w:val="Normal"/>
    <w:next w:val="Normal"/>
    <w:autoRedefine/>
    <w:uiPriority w:val="39"/>
    <w:unhideWhenUsed/>
    <w:rsid w:val="00B714DF"/>
    <w:pPr>
      <w:tabs>
        <w:tab w:val="left" w:pos="940"/>
        <w:tab w:val="right" w:leader="dot" w:pos="7353"/>
      </w:tabs>
      <w:ind w:left="480"/>
    </w:pPr>
    <w:rPr>
      <w:noProof/>
      <w:sz w:val="20"/>
      <w:szCs w:val="20"/>
    </w:rPr>
  </w:style>
  <w:style w:type="paragraph" w:styleId="TDC4">
    <w:name w:val="toc 4"/>
    <w:basedOn w:val="Normal"/>
    <w:next w:val="Normal"/>
    <w:autoRedefine/>
    <w:uiPriority w:val="39"/>
    <w:semiHidden/>
    <w:unhideWhenUsed/>
    <w:rsid w:val="00834C7E"/>
    <w:pPr>
      <w:ind w:left="720"/>
    </w:pPr>
    <w:rPr>
      <w:rFonts w:asciiTheme="minorHAnsi" w:hAnsiTheme="minorHAnsi"/>
      <w:sz w:val="20"/>
      <w:szCs w:val="20"/>
    </w:rPr>
  </w:style>
  <w:style w:type="paragraph" w:styleId="TDC5">
    <w:name w:val="toc 5"/>
    <w:basedOn w:val="Normal"/>
    <w:next w:val="Normal"/>
    <w:autoRedefine/>
    <w:uiPriority w:val="39"/>
    <w:semiHidden/>
    <w:unhideWhenUsed/>
    <w:rsid w:val="00834C7E"/>
    <w:pPr>
      <w:ind w:left="960"/>
    </w:pPr>
    <w:rPr>
      <w:rFonts w:asciiTheme="minorHAnsi" w:hAnsiTheme="minorHAnsi"/>
      <w:sz w:val="20"/>
      <w:szCs w:val="20"/>
    </w:rPr>
  </w:style>
  <w:style w:type="paragraph" w:styleId="TDC6">
    <w:name w:val="toc 6"/>
    <w:basedOn w:val="Normal"/>
    <w:next w:val="Normal"/>
    <w:autoRedefine/>
    <w:uiPriority w:val="39"/>
    <w:semiHidden/>
    <w:unhideWhenUsed/>
    <w:rsid w:val="00834C7E"/>
    <w:pPr>
      <w:ind w:left="1200"/>
    </w:pPr>
    <w:rPr>
      <w:rFonts w:asciiTheme="minorHAnsi" w:hAnsiTheme="minorHAnsi"/>
      <w:sz w:val="20"/>
      <w:szCs w:val="20"/>
    </w:rPr>
  </w:style>
  <w:style w:type="paragraph" w:styleId="TDC7">
    <w:name w:val="toc 7"/>
    <w:basedOn w:val="Normal"/>
    <w:next w:val="Normal"/>
    <w:autoRedefine/>
    <w:uiPriority w:val="39"/>
    <w:semiHidden/>
    <w:unhideWhenUsed/>
    <w:rsid w:val="00834C7E"/>
    <w:pPr>
      <w:ind w:left="1440"/>
    </w:pPr>
    <w:rPr>
      <w:rFonts w:asciiTheme="minorHAnsi" w:hAnsiTheme="minorHAnsi"/>
      <w:sz w:val="20"/>
      <w:szCs w:val="20"/>
    </w:rPr>
  </w:style>
  <w:style w:type="paragraph" w:styleId="TDC8">
    <w:name w:val="toc 8"/>
    <w:basedOn w:val="Normal"/>
    <w:next w:val="Normal"/>
    <w:autoRedefine/>
    <w:uiPriority w:val="39"/>
    <w:semiHidden/>
    <w:unhideWhenUsed/>
    <w:rsid w:val="00834C7E"/>
    <w:pPr>
      <w:ind w:left="1680"/>
    </w:pPr>
    <w:rPr>
      <w:rFonts w:asciiTheme="minorHAnsi" w:hAnsiTheme="minorHAnsi"/>
      <w:sz w:val="20"/>
      <w:szCs w:val="20"/>
    </w:rPr>
  </w:style>
  <w:style w:type="paragraph" w:styleId="TDC9">
    <w:name w:val="toc 9"/>
    <w:basedOn w:val="Normal"/>
    <w:next w:val="Normal"/>
    <w:autoRedefine/>
    <w:uiPriority w:val="39"/>
    <w:semiHidden/>
    <w:unhideWhenUsed/>
    <w:rsid w:val="00834C7E"/>
    <w:pPr>
      <w:ind w:left="1920"/>
    </w:pPr>
    <w:rPr>
      <w:rFonts w:asciiTheme="minorHAnsi" w:hAnsiTheme="minorHAnsi"/>
      <w:sz w:val="20"/>
      <w:szCs w:val="20"/>
    </w:rPr>
  </w:style>
  <w:style w:type="character" w:customStyle="1" w:styleId="Ttulo2Car">
    <w:name w:val="Título 2 Car"/>
    <w:basedOn w:val="Fuentedeprrafopredeter"/>
    <w:link w:val="Ttulo2"/>
    <w:uiPriority w:val="9"/>
    <w:rsid w:val="006674CD"/>
    <w:rPr>
      <w:rFonts w:ascii="Montserrat" w:eastAsiaTheme="majorEastAsia" w:hAnsi="Montserrat" w:cstheme="majorBidi"/>
      <w:color w:val="595959" w:themeColor="text1" w:themeTint="A6"/>
      <w:lang w:val="es-ES" w:eastAsia="ar-SA"/>
    </w:rPr>
  </w:style>
  <w:style w:type="character" w:customStyle="1" w:styleId="Ttulo3Car">
    <w:name w:val="Título 3 Car"/>
    <w:basedOn w:val="Fuentedeprrafopredeter"/>
    <w:link w:val="Ttulo3"/>
    <w:uiPriority w:val="9"/>
    <w:rsid w:val="006D5168"/>
    <w:rPr>
      <w:rFonts w:ascii="Montserrat" w:eastAsia="Malgun Gothic Semilight" w:hAnsi="Montserrat" w:cs="Malgun Gothic Semilight"/>
      <w:b/>
      <w:color w:val="595959" w:themeColor="text1" w:themeTint="A6"/>
      <w:sz w:val="22"/>
      <w:szCs w:val="22"/>
      <w:lang w:val="es-ES" w:eastAsia="en-US"/>
    </w:rPr>
  </w:style>
  <w:style w:type="character" w:customStyle="1" w:styleId="bloquetexto">
    <w:name w:val="bloquetexto"/>
    <w:basedOn w:val="Fuentedeprrafopredeter"/>
    <w:rsid w:val="001B6BFD"/>
  </w:style>
  <w:style w:type="character" w:customStyle="1" w:styleId="Mencinsinresolver1">
    <w:name w:val="Mención sin resolver1"/>
    <w:basedOn w:val="Fuentedeprrafopredeter"/>
    <w:uiPriority w:val="99"/>
    <w:semiHidden/>
    <w:unhideWhenUsed/>
    <w:rsid w:val="00A8324D"/>
    <w:rPr>
      <w:color w:val="808080"/>
      <w:shd w:val="clear" w:color="auto" w:fill="E6E6E6"/>
    </w:rPr>
  </w:style>
  <w:style w:type="character" w:customStyle="1" w:styleId="Mencinsinresolver2">
    <w:name w:val="Mención sin resolver2"/>
    <w:basedOn w:val="Fuentedeprrafopredeter"/>
    <w:uiPriority w:val="99"/>
    <w:semiHidden/>
    <w:unhideWhenUsed/>
    <w:rsid w:val="00285FC2"/>
    <w:rPr>
      <w:color w:val="808080"/>
      <w:shd w:val="clear" w:color="auto" w:fill="E6E6E6"/>
    </w:rPr>
  </w:style>
  <w:style w:type="character" w:styleId="Hipervnculovisitado">
    <w:name w:val="FollowedHyperlink"/>
    <w:basedOn w:val="Fuentedeprrafopredeter"/>
    <w:uiPriority w:val="99"/>
    <w:semiHidden/>
    <w:unhideWhenUsed/>
    <w:rsid w:val="00087699"/>
    <w:rPr>
      <w:color w:val="800080" w:themeColor="followedHyperlink"/>
      <w:u w:val="single"/>
    </w:rPr>
  </w:style>
  <w:style w:type="paragraph" w:customStyle="1" w:styleId="paragraph">
    <w:name w:val="paragraph"/>
    <w:basedOn w:val="Normal"/>
    <w:rsid w:val="000179C1"/>
    <w:pPr>
      <w:spacing w:before="100" w:beforeAutospacing="1" w:after="100" w:afterAutospacing="1" w:line="240" w:lineRule="auto"/>
      <w:jc w:val="left"/>
    </w:pPr>
    <w:rPr>
      <w:rFonts w:ascii="Times New Roman" w:eastAsia="Times New Roman" w:hAnsi="Times New Roman" w:cs="Times New Roman"/>
      <w:sz w:val="24"/>
      <w:szCs w:val="24"/>
      <w:lang w:eastAsia="es-ES_tradnl"/>
    </w:rPr>
  </w:style>
  <w:style w:type="character" w:customStyle="1" w:styleId="normaltextrun">
    <w:name w:val="normaltextrun"/>
    <w:basedOn w:val="Fuentedeprrafopredeter"/>
    <w:rsid w:val="00017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95546">
      <w:bodyDiv w:val="1"/>
      <w:marLeft w:val="0"/>
      <w:marRight w:val="0"/>
      <w:marTop w:val="0"/>
      <w:marBottom w:val="0"/>
      <w:divBdr>
        <w:top w:val="none" w:sz="0" w:space="0" w:color="auto"/>
        <w:left w:val="none" w:sz="0" w:space="0" w:color="auto"/>
        <w:bottom w:val="none" w:sz="0" w:space="0" w:color="auto"/>
        <w:right w:val="none" w:sz="0" w:space="0" w:color="auto"/>
      </w:divBdr>
    </w:div>
    <w:div w:id="68622098">
      <w:bodyDiv w:val="1"/>
      <w:marLeft w:val="0"/>
      <w:marRight w:val="0"/>
      <w:marTop w:val="0"/>
      <w:marBottom w:val="0"/>
      <w:divBdr>
        <w:top w:val="none" w:sz="0" w:space="0" w:color="auto"/>
        <w:left w:val="none" w:sz="0" w:space="0" w:color="auto"/>
        <w:bottom w:val="none" w:sz="0" w:space="0" w:color="auto"/>
        <w:right w:val="none" w:sz="0" w:space="0" w:color="auto"/>
      </w:divBdr>
    </w:div>
    <w:div w:id="83961124">
      <w:bodyDiv w:val="1"/>
      <w:marLeft w:val="0"/>
      <w:marRight w:val="0"/>
      <w:marTop w:val="0"/>
      <w:marBottom w:val="0"/>
      <w:divBdr>
        <w:top w:val="none" w:sz="0" w:space="0" w:color="auto"/>
        <w:left w:val="none" w:sz="0" w:space="0" w:color="auto"/>
        <w:bottom w:val="none" w:sz="0" w:space="0" w:color="auto"/>
        <w:right w:val="none" w:sz="0" w:space="0" w:color="auto"/>
      </w:divBdr>
      <w:divsChild>
        <w:div w:id="307247402">
          <w:marLeft w:val="446"/>
          <w:marRight w:val="0"/>
          <w:marTop w:val="67"/>
          <w:marBottom w:val="0"/>
          <w:divBdr>
            <w:top w:val="none" w:sz="0" w:space="0" w:color="auto"/>
            <w:left w:val="none" w:sz="0" w:space="0" w:color="auto"/>
            <w:bottom w:val="none" w:sz="0" w:space="0" w:color="auto"/>
            <w:right w:val="none" w:sz="0" w:space="0" w:color="auto"/>
          </w:divBdr>
        </w:div>
        <w:div w:id="1359089972">
          <w:marLeft w:val="446"/>
          <w:marRight w:val="0"/>
          <w:marTop w:val="67"/>
          <w:marBottom w:val="0"/>
          <w:divBdr>
            <w:top w:val="none" w:sz="0" w:space="0" w:color="auto"/>
            <w:left w:val="none" w:sz="0" w:space="0" w:color="auto"/>
            <w:bottom w:val="none" w:sz="0" w:space="0" w:color="auto"/>
            <w:right w:val="none" w:sz="0" w:space="0" w:color="auto"/>
          </w:divBdr>
        </w:div>
      </w:divsChild>
    </w:div>
    <w:div w:id="116608059">
      <w:bodyDiv w:val="1"/>
      <w:marLeft w:val="0"/>
      <w:marRight w:val="0"/>
      <w:marTop w:val="0"/>
      <w:marBottom w:val="0"/>
      <w:divBdr>
        <w:top w:val="none" w:sz="0" w:space="0" w:color="auto"/>
        <w:left w:val="none" w:sz="0" w:space="0" w:color="auto"/>
        <w:bottom w:val="none" w:sz="0" w:space="0" w:color="auto"/>
        <w:right w:val="none" w:sz="0" w:space="0" w:color="auto"/>
      </w:divBdr>
    </w:div>
    <w:div w:id="193931573">
      <w:bodyDiv w:val="1"/>
      <w:marLeft w:val="0"/>
      <w:marRight w:val="0"/>
      <w:marTop w:val="0"/>
      <w:marBottom w:val="0"/>
      <w:divBdr>
        <w:top w:val="none" w:sz="0" w:space="0" w:color="auto"/>
        <w:left w:val="none" w:sz="0" w:space="0" w:color="auto"/>
        <w:bottom w:val="none" w:sz="0" w:space="0" w:color="auto"/>
        <w:right w:val="none" w:sz="0" w:space="0" w:color="auto"/>
      </w:divBdr>
    </w:div>
    <w:div w:id="366418027">
      <w:bodyDiv w:val="1"/>
      <w:marLeft w:val="0"/>
      <w:marRight w:val="0"/>
      <w:marTop w:val="0"/>
      <w:marBottom w:val="0"/>
      <w:divBdr>
        <w:top w:val="none" w:sz="0" w:space="0" w:color="auto"/>
        <w:left w:val="none" w:sz="0" w:space="0" w:color="auto"/>
        <w:bottom w:val="none" w:sz="0" w:space="0" w:color="auto"/>
        <w:right w:val="none" w:sz="0" w:space="0" w:color="auto"/>
      </w:divBdr>
    </w:div>
    <w:div w:id="368341953">
      <w:bodyDiv w:val="1"/>
      <w:marLeft w:val="0"/>
      <w:marRight w:val="0"/>
      <w:marTop w:val="0"/>
      <w:marBottom w:val="0"/>
      <w:divBdr>
        <w:top w:val="none" w:sz="0" w:space="0" w:color="auto"/>
        <w:left w:val="none" w:sz="0" w:space="0" w:color="auto"/>
        <w:bottom w:val="none" w:sz="0" w:space="0" w:color="auto"/>
        <w:right w:val="none" w:sz="0" w:space="0" w:color="auto"/>
      </w:divBdr>
    </w:div>
    <w:div w:id="386533014">
      <w:bodyDiv w:val="1"/>
      <w:marLeft w:val="0"/>
      <w:marRight w:val="0"/>
      <w:marTop w:val="0"/>
      <w:marBottom w:val="0"/>
      <w:divBdr>
        <w:top w:val="none" w:sz="0" w:space="0" w:color="auto"/>
        <w:left w:val="none" w:sz="0" w:space="0" w:color="auto"/>
        <w:bottom w:val="none" w:sz="0" w:space="0" w:color="auto"/>
        <w:right w:val="none" w:sz="0" w:space="0" w:color="auto"/>
      </w:divBdr>
    </w:div>
    <w:div w:id="411581739">
      <w:bodyDiv w:val="1"/>
      <w:marLeft w:val="0"/>
      <w:marRight w:val="0"/>
      <w:marTop w:val="0"/>
      <w:marBottom w:val="0"/>
      <w:divBdr>
        <w:top w:val="none" w:sz="0" w:space="0" w:color="auto"/>
        <w:left w:val="none" w:sz="0" w:space="0" w:color="auto"/>
        <w:bottom w:val="none" w:sz="0" w:space="0" w:color="auto"/>
        <w:right w:val="none" w:sz="0" w:space="0" w:color="auto"/>
      </w:divBdr>
    </w:div>
    <w:div w:id="553395192">
      <w:bodyDiv w:val="1"/>
      <w:marLeft w:val="0"/>
      <w:marRight w:val="0"/>
      <w:marTop w:val="0"/>
      <w:marBottom w:val="0"/>
      <w:divBdr>
        <w:top w:val="none" w:sz="0" w:space="0" w:color="auto"/>
        <w:left w:val="none" w:sz="0" w:space="0" w:color="auto"/>
        <w:bottom w:val="none" w:sz="0" w:space="0" w:color="auto"/>
        <w:right w:val="none" w:sz="0" w:space="0" w:color="auto"/>
      </w:divBdr>
    </w:div>
    <w:div w:id="652955800">
      <w:bodyDiv w:val="1"/>
      <w:marLeft w:val="0"/>
      <w:marRight w:val="0"/>
      <w:marTop w:val="0"/>
      <w:marBottom w:val="0"/>
      <w:divBdr>
        <w:top w:val="none" w:sz="0" w:space="0" w:color="auto"/>
        <w:left w:val="none" w:sz="0" w:space="0" w:color="auto"/>
        <w:bottom w:val="none" w:sz="0" w:space="0" w:color="auto"/>
        <w:right w:val="none" w:sz="0" w:space="0" w:color="auto"/>
      </w:divBdr>
    </w:div>
    <w:div w:id="745491363">
      <w:bodyDiv w:val="1"/>
      <w:marLeft w:val="0"/>
      <w:marRight w:val="0"/>
      <w:marTop w:val="0"/>
      <w:marBottom w:val="0"/>
      <w:divBdr>
        <w:top w:val="none" w:sz="0" w:space="0" w:color="auto"/>
        <w:left w:val="none" w:sz="0" w:space="0" w:color="auto"/>
        <w:bottom w:val="none" w:sz="0" w:space="0" w:color="auto"/>
        <w:right w:val="none" w:sz="0" w:space="0" w:color="auto"/>
      </w:divBdr>
    </w:div>
    <w:div w:id="777604502">
      <w:bodyDiv w:val="1"/>
      <w:marLeft w:val="0"/>
      <w:marRight w:val="0"/>
      <w:marTop w:val="0"/>
      <w:marBottom w:val="0"/>
      <w:divBdr>
        <w:top w:val="none" w:sz="0" w:space="0" w:color="auto"/>
        <w:left w:val="none" w:sz="0" w:space="0" w:color="auto"/>
        <w:bottom w:val="none" w:sz="0" w:space="0" w:color="auto"/>
        <w:right w:val="none" w:sz="0" w:space="0" w:color="auto"/>
      </w:divBdr>
    </w:div>
    <w:div w:id="788206953">
      <w:bodyDiv w:val="1"/>
      <w:marLeft w:val="0"/>
      <w:marRight w:val="0"/>
      <w:marTop w:val="0"/>
      <w:marBottom w:val="0"/>
      <w:divBdr>
        <w:top w:val="none" w:sz="0" w:space="0" w:color="auto"/>
        <w:left w:val="none" w:sz="0" w:space="0" w:color="auto"/>
        <w:bottom w:val="none" w:sz="0" w:space="0" w:color="auto"/>
        <w:right w:val="none" w:sz="0" w:space="0" w:color="auto"/>
      </w:divBdr>
    </w:div>
    <w:div w:id="849179282">
      <w:bodyDiv w:val="1"/>
      <w:marLeft w:val="0"/>
      <w:marRight w:val="0"/>
      <w:marTop w:val="0"/>
      <w:marBottom w:val="0"/>
      <w:divBdr>
        <w:top w:val="none" w:sz="0" w:space="0" w:color="auto"/>
        <w:left w:val="none" w:sz="0" w:space="0" w:color="auto"/>
        <w:bottom w:val="none" w:sz="0" w:space="0" w:color="auto"/>
        <w:right w:val="none" w:sz="0" w:space="0" w:color="auto"/>
      </w:divBdr>
    </w:div>
    <w:div w:id="913009479">
      <w:bodyDiv w:val="1"/>
      <w:marLeft w:val="0"/>
      <w:marRight w:val="0"/>
      <w:marTop w:val="0"/>
      <w:marBottom w:val="0"/>
      <w:divBdr>
        <w:top w:val="none" w:sz="0" w:space="0" w:color="auto"/>
        <w:left w:val="none" w:sz="0" w:space="0" w:color="auto"/>
        <w:bottom w:val="none" w:sz="0" w:space="0" w:color="auto"/>
        <w:right w:val="none" w:sz="0" w:space="0" w:color="auto"/>
      </w:divBdr>
      <w:divsChild>
        <w:div w:id="1859075668">
          <w:marLeft w:val="288"/>
          <w:marRight w:val="0"/>
          <w:marTop w:val="115"/>
          <w:marBottom w:val="0"/>
          <w:divBdr>
            <w:top w:val="none" w:sz="0" w:space="0" w:color="auto"/>
            <w:left w:val="none" w:sz="0" w:space="0" w:color="auto"/>
            <w:bottom w:val="none" w:sz="0" w:space="0" w:color="auto"/>
            <w:right w:val="none" w:sz="0" w:space="0" w:color="auto"/>
          </w:divBdr>
        </w:div>
      </w:divsChild>
    </w:div>
    <w:div w:id="1040326610">
      <w:bodyDiv w:val="1"/>
      <w:marLeft w:val="0"/>
      <w:marRight w:val="0"/>
      <w:marTop w:val="0"/>
      <w:marBottom w:val="0"/>
      <w:divBdr>
        <w:top w:val="none" w:sz="0" w:space="0" w:color="auto"/>
        <w:left w:val="none" w:sz="0" w:space="0" w:color="auto"/>
        <w:bottom w:val="none" w:sz="0" w:space="0" w:color="auto"/>
        <w:right w:val="none" w:sz="0" w:space="0" w:color="auto"/>
      </w:divBdr>
    </w:div>
    <w:div w:id="1270046784">
      <w:bodyDiv w:val="1"/>
      <w:marLeft w:val="0"/>
      <w:marRight w:val="0"/>
      <w:marTop w:val="0"/>
      <w:marBottom w:val="0"/>
      <w:divBdr>
        <w:top w:val="none" w:sz="0" w:space="0" w:color="auto"/>
        <w:left w:val="none" w:sz="0" w:space="0" w:color="auto"/>
        <w:bottom w:val="none" w:sz="0" w:space="0" w:color="auto"/>
        <w:right w:val="none" w:sz="0" w:space="0" w:color="auto"/>
      </w:divBdr>
    </w:div>
    <w:div w:id="1284458192">
      <w:bodyDiv w:val="1"/>
      <w:marLeft w:val="0"/>
      <w:marRight w:val="0"/>
      <w:marTop w:val="0"/>
      <w:marBottom w:val="0"/>
      <w:divBdr>
        <w:top w:val="none" w:sz="0" w:space="0" w:color="auto"/>
        <w:left w:val="none" w:sz="0" w:space="0" w:color="auto"/>
        <w:bottom w:val="none" w:sz="0" w:space="0" w:color="auto"/>
        <w:right w:val="none" w:sz="0" w:space="0" w:color="auto"/>
      </w:divBdr>
    </w:div>
    <w:div w:id="1375807080">
      <w:bodyDiv w:val="1"/>
      <w:marLeft w:val="0"/>
      <w:marRight w:val="0"/>
      <w:marTop w:val="0"/>
      <w:marBottom w:val="0"/>
      <w:divBdr>
        <w:top w:val="none" w:sz="0" w:space="0" w:color="auto"/>
        <w:left w:val="none" w:sz="0" w:space="0" w:color="auto"/>
        <w:bottom w:val="none" w:sz="0" w:space="0" w:color="auto"/>
        <w:right w:val="none" w:sz="0" w:space="0" w:color="auto"/>
      </w:divBdr>
    </w:div>
    <w:div w:id="1516068279">
      <w:bodyDiv w:val="1"/>
      <w:marLeft w:val="0"/>
      <w:marRight w:val="0"/>
      <w:marTop w:val="0"/>
      <w:marBottom w:val="0"/>
      <w:divBdr>
        <w:top w:val="none" w:sz="0" w:space="0" w:color="auto"/>
        <w:left w:val="none" w:sz="0" w:space="0" w:color="auto"/>
        <w:bottom w:val="none" w:sz="0" w:space="0" w:color="auto"/>
        <w:right w:val="none" w:sz="0" w:space="0" w:color="auto"/>
      </w:divBdr>
    </w:div>
    <w:div w:id="1697270369">
      <w:bodyDiv w:val="1"/>
      <w:marLeft w:val="0"/>
      <w:marRight w:val="0"/>
      <w:marTop w:val="0"/>
      <w:marBottom w:val="0"/>
      <w:divBdr>
        <w:top w:val="none" w:sz="0" w:space="0" w:color="auto"/>
        <w:left w:val="none" w:sz="0" w:space="0" w:color="auto"/>
        <w:bottom w:val="none" w:sz="0" w:space="0" w:color="auto"/>
        <w:right w:val="none" w:sz="0" w:space="0" w:color="auto"/>
      </w:divBdr>
    </w:div>
    <w:div w:id="1715542876">
      <w:bodyDiv w:val="1"/>
      <w:marLeft w:val="0"/>
      <w:marRight w:val="0"/>
      <w:marTop w:val="0"/>
      <w:marBottom w:val="0"/>
      <w:divBdr>
        <w:top w:val="none" w:sz="0" w:space="0" w:color="auto"/>
        <w:left w:val="none" w:sz="0" w:space="0" w:color="auto"/>
        <w:bottom w:val="none" w:sz="0" w:space="0" w:color="auto"/>
        <w:right w:val="none" w:sz="0" w:space="0" w:color="auto"/>
      </w:divBdr>
    </w:div>
    <w:div w:id="1838767030">
      <w:bodyDiv w:val="1"/>
      <w:marLeft w:val="0"/>
      <w:marRight w:val="0"/>
      <w:marTop w:val="0"/>
      <w:marBottom w:val="0"/>
      <w:divBdr>
        <w:top w:val="none" w:sz="0" w:space="0" w:color="auto"/>
        <w:left w:val="none" w:sz="0" w:space="0" w:color="auto"/>
        <w:bottom w:val="none" w:sz="0" w:space="0" w:color="auto"/>
        <w:right w:val="none" w:sz="0" w:space="0" w:color="auto"/>
      </w:divBdr>
    </w:div>
    <w:div w:id="1888831605">
      <w:bodyDiv w:val="1"/>
      <w:marLeft w:val="0"/>
      <w:marRight w:val="0"/>
      <w:marTop w:val="0"/>
      <w:marBottom w:val="0"/>
      <w:divBdr>
        <w:top w:val="none" w:sz="0" w:space="0" w:color="auto"/>
        <w:left w:val="none" w:sz="0" w:space="0" w:color="auto"/>
        <w:bottom w:val="none" w:sz="0" w:space="0" w:color="auto"/>
        <w:right w:val="none" w:sz="0" w:space="0" w:color="auto"/>
      </w:divBdr>
    </w:div>
    <w:div w:id="1929386678">
      <w:bodyDiv w:val="1"/>
      <w:marLeft w:val="0"/>
      <w:marRight w:val="0"/>
      <w:marTop w:val="0"/>
      <w:marBottom w:val="0"/>
      <w:divBdr>
        <w:top w:val="none" w:sz="0" w:space="0" w:color="auto"/>
        <w:left w:val="none" w:sz="0" w:space="0" w:color="auto"/>
        <w:bottom w:val="none" w:sz="0" w:space="0" w:color="auto"/>
        <w:right w:val="none" w:sz="0" w:space="0" w:color="auto"/>
      </w:divBdr>
    </w:div>
    <w:div w:id="2026832352">
      <w:bodyDiv w:val="1"/>
      <w:marLeft w:val="0"/>
      <w:marRight w:val="0"/>
      <w:marTop w:val="0"/>
      <w:marBottom w:val="0"/>
      <w:divBdr>
        <w:top w:val="none" w:sz="0" w:space="0" w:color="auto"/>
        <w:left w:val="none" w:sz="0" w:space="0" w:color="auto"/>
        <w:bottom w:val="none" w:sz="0" w:space="0" w:color="auto"/>
        <w:right w:val="none" w:sz="0" w:space="0" w:color="auto"/>
      </w:divBdr>
    </w:div>
    <w:div w:id="2040664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20-%20OK:Users:GZSZ:Library:Application%20Support:Microsoft:Office:Plantillas%20personales:Mis%20plantillas:2020_plantilla_asufi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e98e6c91-b3ee-4749-8451-74b24afc57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7D724C1F7DB0B4E8ED435F4EED4B69E" ma:contentTypeVersion="4" ma:contentTypeDescription="Crear nuevo documento." ma:contentTypeScope="" ma:versionID="4802afd7a0d013a0a658f710ee704f9e">
  <xsd:schema xmlns:xsd="http://www.w3.org/2001/XMLSchema" xmlns:xs="http://www.w3.org/2001/XMLSchema" xmlns:p="http://schemas.microsoft.com/office/2006/metadata/properties" xmlns:ns2="e98e6c91-b3ee-4749-8451-74b24afc5783" targetNamespace="http://schemas.microsoft.com/office/2006/metadata/properties" ma:root="true" ma:fieldsID="02fd0793f88e46ed30ec563a73e8fe0d" ns2:_="">
    <xsd:import namespace="e98e6c91-b3ee-4749-8451-74b24afc57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e6c91-b3ee-4749-8451-74b24afc5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53299-1689-49BF-A6C9-B73A0B25EC8F}">
  <ds:schemaRefs>
    <ds:schemaRef ds:uri="http://schemas.microsoft.com/office/2006/metadata/properties"/>
    <ds:schemaRef ds:uri="http://schemas.microsoft.com/office/infopath/2007/PartnerControls"/>
    <ds:schemaRef ds:uri="00efe1ff-21a5-4545-90fb-ff97654b7914"/>
    <ds:schemaRef ds:uri="8f1ad84a-d145-441a-a552-7d1b7e284ce2"/>
  </ds:schemaRefs>
</ds:datastoreItem>
</file>

<file path=customXml/itemProps2.xml><?xml version="1.0" encoding="utf-8"?>
<ds:datastoreItem xmlns:ds="http://schemas.openxmlformats.org/officeDocument/2006/customXml" ds:itemID="{C7DDA43D-6A63-4586-8776-E1C22FDD8F53}">
  <ds:schemaRefs>
    <ds:schemaRef ds:uri="http://schemas.microsoft.com/sharepoint/v3/contenttype/forms"/>
  </ds:schemaRefs>
</ds:datastoreItem>
</file>

<file path=customXml/itemProps3.xml><?xml version="1.0" encoding="utf-8"?>
<ds:datastoreItem xmlns:ds="http://schemas.openxmlformats.org/officeDocument/2006/customXml" ds:itemID="{1A2E1882-9382-40F4-8AC6-BD8F304367DC}"/>
</file>

<file path=customXml/itemProps4.xml><?xml version="1.0" encoding="utf-8"?>
<ds:datastoreItem xmlns:ds="http://schemas.openxmlformats.org/officeDocument/2006/customXml" ds:itemID="{5008B32D-7B52-0442-B823-04B7D5C31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Macintosh%20HD%20-%20OK:Users:GZSZ:Library:Application%20Support:Microsoft:Office:Plantillas%20personales:Mis%20plantillas:2020_plantilla_asufin.dotx</Template>
  <TotalTime>6</TotalTime>
  <Pages>4</Pages>
  <Words>1412</Words>
  <Characters>7770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GZSZ</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SUAREZ RAMIREZ</dc:creator>
  <cp:keywords/>
  <dc:description/>
  <cp:lastModifiedBy>Veronica Rodriguez Dominguez</cp:lastModifiedBy>
  <cp:revision>9</cp:revision>
  <cp:lastPrinted>2020-01-22T10:36:00Z</cp:lastPrinted>
  <dcterms:created xsi:type="dcterms:W3CDTF">2022-06-17T13:04:00Z</dcterms:created>
  <dcterms:modified xsi:type="dcterms:W3CDTF">2022-06-17T13:22:00Z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0x01010007D724C1F7DB0B4E8ED435F4EED4B69E</vt:lpwstr>
  </property>
  <property fmtid="{D5CDD505-2E9C-101B-9397-08002B2CF9AE}" pid="3" name="Order">
    <vt:r8>1400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